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9750E" w14:textId="235BD6F0" w:rsidR="002E73C6" w:rsidRPr="002E73C6" w:rsidRDefault="000D1DC6" w:rsidP="002E73C6">
      <w:pPr>
        <w:pBdr>
          <w:bottom w:val="single" w:sz="8" w:space="1" w:color="005677"/>
        </w:pBdr>
        <w:spacing w:before="360" w:after="120" w:line="240" w:lineRule="auto"/>
        <w:contextualSpacing/>
        <w:outlineLvl w:val="0"/>
        <w:rPr>
          <w:rFonts w:ascii="Calibri" w:eastAsia="Times New Roman" w:hAnsi="Calibri" w:cs="Times New Roman"/>
          <w:color w:val="005677"/>
          <w:spacing w:val="-10"/>
          <w:kern w:val="28"/>
          <w:sz w:val="56"/>
          <w:szCs w:val="72"/>
        </w:rPr>
      </w:pPr>
      <w:bookmarkStart w:id="0" w:name="_GoBack"/>
      <w:bookmarkEnd w:id="0"/>
      <w:r w:rsidRPr="002E73C6">
        <w:rPr>
          <w:rFonts w:ascii="Calibri" w:eastAsia="Times New Roman" w:hAnsi="Calibri" w:cs="Times New Roman"/>
          <w:color w:val="005677"/>
          <w:spacing w:val="-10"/>
          <w:kern w:val="28"/>
          <w:sz w:val="56"/>
          <w:szCs w:val="72"/>
        </w:rPr>
        <w:t>Draft Aboriginal and Torres Strait Islander Engagement and Participation Plan</w:t>
      </w:r>
    </w:p>
    <w:p w14:paraId="1E6B0AFF" w14:textId="56155439" w:rsidR="000C42D8" w:rsidRDefault="0038173B" w:rsidP="00B471A3">
      <w:pPr>
        <w:pStyle w:val="Subtitle"/>
        <w:rPr>
          <w:b/>
          <w:color w:val="6D6F72" w:themeColor="accent1" w:themeShade="BF"/>
        </w:rPr>
      </w:pPr>
      <w:r>
        <w:rPr>
          <w:rFonts w:eastAsia="Times New Roman"/>
        </w:rPr>
        <w:t>Guidance</w:t>
      </w:r>
      <w:r w:rsidR="002E73C6" w:rsidRPr="002E73C6">
        <w:rPr>
          <w:rFonts w:eastAsia="Times New Roman"/>
        </w:rPr>
        <w:t xml:space="preserve"> for applicants and template</w:t>
      </w:r>
      <w:r w:rsidR="00422965">
        <w:rPr>
          <w:rFonts w:eastAsia="Times New Roman"/>
        </w:rPr>
        <w:t xml:space="preserve"> </w:t>
      </w:r>
    </w:p>
    <w:p w14:paraId="1B069D0F" w14:textId="44D23C28" w:rsidR="00422965" w:rsidRPr="002377F0" w:rsidRDefault="002377F0" w:rsidP="003B3078">
      <w:pPr>
        <w:pStyle w:val="Heading2"/>
        <w:rPr>
          <w:color w:val="6D6F72" w:themeColor="accent1" w:themeShade="BF"/>
          <w:sz w:val="26"/>
          <w:szCs w:val="26"/>
        </w:rPr>
      </w:pPr>
      <w:r w:rsidRPr="00230762">
        <w:rPr>
          <w:rFonts w:asciiTheme="minorHAnsi" w:hAnsiTheme="minorHAnsi" w:cstheme="minorHAnsi"/>
        </w:rPr>
        <w:t>Purpose</w:t>
      </w:r>
    </w:p>
    <w:p w14:paraId="1AD4448D" w14:textId="5CA9F16D" w:rsidR="000D1DC6" w:rsidRPr="000D1DC6" w:rsidRDefault="000D1DC6" w:rsidP="007269C4">
      <w:r w:rsidRPr="000D1DC6">
        <w:t>This document provides guidance on the draft Aboriginal and Torres Strait Islander Engagement and Participation Plan (the EPP) that is required as part of your application for the Manufacturing Collaboration Stream (MCS) of the Modern Manufacturing Initiative (MMI). There is also a template response f</w:t>
      </w:r>
      <w:r w:rsidR="00EE69E5">
        <w:t>orm</w:t>
      </w:r>
      <w:r w:rsidRPr="000D1DC6">
        <w:t xml:space="preserve"> included. </w:t>
      </w:r>
    </w:p>
    <w:p w14:paraId="5C569489" w14:textId="08EAC4BB" w:rsidR="000D1DC6" w:rsidRPr="000D1DC6" w:rsidRDefault="000D1DC6" w:rsidP="007269C4">
      <w:r w:rsidRPr="000D1DC6">
        <w:t xml:space="preserve">Encouraging participation of Aboriginal and Torres Strait Islander peoples in the MCS supports the Australian Government’s agenda for economic participation of Aboriginal and Torres Strait Islander </w:t>
      </w:r>
      <w:proofErr w:type="gramStart"/>
      <w:r w:rsidRPr="000D1DC6">
        <w:t>people</w:t>
      </w:r>
      <w:proofErr w:type="gramEnd"/>
      <w:r w:rsidRPr="000D1DC6">
        <w:t xml:space="preserve"> </w:t>
      </w:r>
      <w:r w:rsidR="005532CD">
        <w:t xml:space="preserve">as well as the target for </w:t>
      </w:r>
      <w:r w:rsidR="00A940B1">
        <w:t>s</w:t>
      </w:r>
      <w:r w:rsidR="005532CD" w:rsidRPr="005532CD">
        <w:t>trong economic participation and development of people and their communities</w:t>
      </w:r>
      <w:r w:rsidR="005532CD">
        <w:t xml:space="preserve"> under the National Agreement on Closing the Gap. </w:t>
      </w:r>
      <w:r w:rsidRPr="000D1DC6">
        <w:t xml:space="preserve"> It is also consistent with the Department of Industry, Science, Energy and Resources’</w:t>
      </w:r>
      <w:r w:rsidRPr="000D1DC6" w:rsidDel="004A1CA3">
        <w:t xml:space="preserve"> </w:t>
      </w:r>
      <w:r w:rsidRPr="000D1DC6">
        <w:t>aim under the Reconciliation Action Plan to develop policy and implement programs that positively impact Aboriginal and Torres Strait Islander people, communities and businesses to deliver economic reform and growth opportunities.</w:t>
      </w:r>
      <w:r w:rsidRPr="000D1DC6" w:rsidDel="003B2E03">
        <w:t xml:space="preserve"> </w:t>
      </w:r>
    </w:p>
    <w:p w14:paraId="008D3845" w14:textId="329FCC1C" w:rsidR="000D1DC6" w:rsidRPr="000D1DC6" w:rsidRDefault="000D1DC6" w:rsidP="007269C4">
      <w:r w:rsidRPr="000D1DC6">
        <w:t xml:space="preserve">The EPP should be developed in consultation with Traditional Owners of the community and other </w:t>
      </w:r>
      <w:r w:rsidR="00103B0B" w:rsidRPr="00103B0B">
        <w:t>Aboriginal and Torres Strait Islander</w:t>
      </w:r>
      <w:r w:rsidRPr="000D1DC6">
        <w:t xml:space="preserve"> people with interests in</w:t>
      </w:r>
      <w:r w:rsidR="0058012F">
        <w:t xml:space="preserve"> the area</w:t>
      </w:r>
      <w:r w:rsidR="0070499C">
        <w:t xml:space="preserve"> in</w:t>
      </w:r>
      <w:r w:rsidRPr="000D1DC6">
        <w:t xml:space="preserve"> which the project will take place. The intent of an EPP is for</w:t>
      </w:r>
      <w:r w:rsidRPr="000D1DC6" w:rsidDel="004125C3">
        <w:t xml:space="preserve"> </w:t>
      </w:r>
      <w:r w:rsidRPr="000D1DC6">
        <w:t xml:space="preserve">applicants to consider where their needs and the needs of the Aboriginal and Torres Strait Islander community align to create a strong, productive relationship. A good EPP will have fully considered, in consultation with Traditional Owners and other </w:t>
      </w:r>
      <w:r w:rsidR="00103B0B" w:rsidRPr="00103B0B">
        <w:t>Aboriginal and Torres Strait Islander</w:t>
      </w:r>
      <w:r w:rsidRPr="000D1DC6">
        <w:t xml:space="preserve"> people with interests, appropriate opportunities for community consultation and collaboration, procurement and employment that reflect the regional Aboriginal and Torres Strait Islander community commensurate with the nature, scope and location of the project, and the capacity of the proponent. The EPP must:</w:t>
      </w:r>
    </w:p>
    <w:p w14:paraId="44B46324" w14:textId="77777777" w:rsidR="000D1DC6" w:rsidRPr="000D1DC6" w:rsidRDefault="000D1DC6" w:rsidP="000D1DC6">
      <w:pPr>
        <w:numPr>
          <w:ilvl w:val="0"/>
          <w:numId w:val="2"/>
        </w:numPr>
        <w:contextualSpacing/>
      </w:pPr>
      <w:r w:rsidRPr="000D1DC6">
        <w:t>Be informed by existing documents, where relevant, including for example native title and other agreements, Indigenous Land Use Agreements, Reconciliation Action Plans, and existing engagement, training, education, employment and procurement initiatives, processes, policies and operations.</w:t>
      </w:r>
    </w:p>
    <w:p w14:paraId="574C3F22" w14:textId="6714D973" w:rsidR="000D1DC6" w:rsidRPr="000D1DC6" w:rsidRDefault="000D1DC6" w:rsidP="000D1DC6">
      <w:pPr>
        <w:numPr>
          <w:ilvl w:val="0"/>
          <w:numId w:val="2"/>
        </w:numPr>
        <w:contextualSpacing/>
      </w:pPr>
      <w:r w:rsidRPr="000D1DC6">
        <w:t>Identify opportunities, in consultation with</w:t>
      </w:r>
      <w:r w:rsidRPr="000D1DC6" w:rsidDel="004A1CA3">
        <w:t xml:space="preserve"> </w:t>
      </w:r>
      <w:r w:rsidRPr="000D1DC6">
        <w:t xml:space="preserve">Traditional Owners and other </w:t>
      </w:r>
      <w:r w:rsidR="00103B0B" w:rsidRPr="00103B0B">
        <w:t>Aboriginal and Torres Strait Islander</w:t>
      </w:r>
      <w:r w:rsidRPr="000D1DC6">
        <w:t xml:space="preserve"> people with interests, for engagement and participation within the project and actions that can enable those opportunities to be taken up by Aboriginal and Torres Strait Islander people.</w:t>
      </w:r>
    </w:p>
    <w:p w14:paraId="231EE59A" w14:textId="77777777" w:rsidR="000D1DC6" w:rsidRPr="000D1DC6" w:rsidRDefault="000D1DC6" w:rsidP="000D1DC6">
      <w:pPr>
        <w:numPr>
          <w:ilvl w:val="0"/>
          <w:numId w:val="2"/>
        </w:numPr>
        <w:contextualSpacing/>
      </w:pPr>
      <w:r w:rsidRPr="000D1DC6">
        <w:t>Consider opportunities across the construction and operational phases of the Project – as appropriate for the Project.</w:t>
      </w:r>
    </w:p>
    <w:p w14:paraId="735B0E26" w14:textId="1808F4FF" w:rsidR="000D1DC6" w:rsidRPr="000D1DC6" w:rsidRDefault="000D1DC6" w:rsidP="000D1DC6">
      <w:pPr>
        <w:numPr>
          <w:ilvl w:val="0"/>
          <w:numId w:val="2"/>
        </w:numPr>
        <w:spacing w:after="0"/>
        <w:contextualSpacing/>
      </w:pPr>
      <w:r w:rsidRPr="000D1DC6">
        <w:t xml:space="preserve">Link to research and consultation with local Traditional Owners and other </w:t>
      </w:r>
      <w:r w:rsidR="00103B0B" w:rsidRPr="00103B0B">
        <w:t>Aboriginal and Torres Strait Islander</w:t>
      </w:r>
      <w:r w:rsidRPr="000D1DC6">
        <w:t xml:space="preserve"> people with interests to show that the opportunities, strategy and actions will be effective. </w:t>
      </w:r>
    </w:p>
    <w:p w14:paraId="7B483690" w14:textId="02137637" w:rsidR="0052226E" w:rsidRPr="00E20A46" w:rsidRDefault="0052226E" w:rsidP="003B3078">
      <w:pPr>
        <w:pStyle w:val="Heading2"/>
        <w:rPr>
          <w:rFonts w:asciiTheme="minorHAnsi" w:hAnsiTheme="minorHAnsi" w:cstheme="minorHAnsi"/>
        </w:rPr>
      </w:pPr>
      <w:r w:rsidRPr="00230762">
        <w:rPr>
          <w:rFonts w:asciiTheme="minorHAnsi" w:hAnsiTheme="minorHAnsi" w:cstheme="minorHAnsi"/>
        </w:rPr>
        <w:lastRenderedPageBreak/>
        <w:t>P</w:t>
      </w:r>
      <w:r w:rsidRPr="00E20A46">
        <w:rPr>
          <w:rFonts w:asciiTheme="minorHAnsi" w:hAnsiTheme="minorHAnsi" w:cstheme="minorHAnsi"/>
        </w:rPr>
        <w:t>rocess</w:t>
      </w:r>
    </w:p>
    <w:p w14:paraId="1C623883" w14:textId="22A8ECE8" w:rsidR="0052226E" w:rsidRPr="00E20A46" w:rsidRDefault="0052226E" w:rsidP="003B3078">
      <w:pPr>
        <w:pStyle w:val="Heading3"/>
        <w:rPr>
          <w:rFonts w:asciiTheme="minorHAnsi" w:hAnsiTheme="minorHAnsi" w:cstheme="minorHAnsi"/>
        </w:rPr>
      </w:pPr>
      <w:r w:rsidRPr="00230762">
        <w:rPr>
          <w:rFonts w:asciiTheme="minorHAnsi" w:hAnsiTheme="minorHAnsi" w:cstheme="minorHAnsi"/>
        </w:rPr>
        <w:t xml:space="preserve">Application </w:t>
      </w:r>
      <w:r w:rsidRPr="00E20A46">
        <w:rPr>
          <w:rFonts w:asciiTheme="minorHAnsi" w:hAnsiTheme="minorHAnsi" w:cstheme="minorHAnsi"/>
        </w:rPr>
        <w:t>stage (Draft EPP)</w:t>
      </w:r>
    </w:p>
    <w:p w14:paraId="7F1EB95A" w14:textId="77777777" w:rsidR="0052226E" w:rsidRPr="000D1DC6" w:rsidRDefault="000D1DC6" w:rsidP="0052226E">
      <w:pPr>
        <w:jc w:val="both"/>
      </w:pPr>
      <w:r w:rsidRPr="000D1DC6">
        <w:t xml:space="preserve">Applicants will be required to </w:t>
      </w:r>
      <w:r w:rsidR="0052226E" w:rsidRPr="000D1DC6">
        <w:t>submit a draft EPP as one of the attachments to their application (See Section 7.1 of the Grant Opportunity Guidelines). As the final EPP will require significant research and consultation with stake</w:t>
      </w:r>
      <w:r w:rsidR="0052226E">
        <w:t xml:space="preserve">holders, we do not require the </w:t>
      </w:r>
      <w:r w:rsidR="0052226E" w:rsidRPr="000D1DC6">
        <w:t xml:space="preserve">draft plan to be finalised at this stage of the process. However, significant progress should be made and initial consultation with stakeholders should be undertaken as part of the draft EPP.  </w:t>
      </w:r>
    </w:p>
    <w:p w14:paraId="58B9A1A3" w14:textId="77777777" w:rsidR="0052226E" w:rsidRPr="000D1DC6" w:rsidRDefault="0052226E" w:rsidP="0052226E">
      <w:pPr>
        <w:jc w:val="both"/>
      </w:pPr>
      <w:r w:rsidRPr="000D1DC6">
        <w:t xml:space="preserve">The EPP should include details of how the applicant intends to undertake ongoing consultation as well as consideration of procurement and employment aspects of the project that might present opportunities for Aboriginal and Torres Strait Islander engagement. </w:t>
      </w:r>
    </w:p>
    <w:p w14:paraId="647AD270" w14:textId="77777777" w:rsidR="0052226E" w:rsidRPr="000D1DC6" w:rsidRDefault="0052226E" w:rsidP="0052226E">
      <w:pPr>
        <w:jc w:val="both"/>
      </w:pPr>
      <w:r w:rsidRPr="000D1DC6">
        <w:t xml:space="preserve">You may wish to include any existing research into regional employment, participation, capacity and other matters. Applicants can include the details of their existing engagement, training, education, employment and procurement initiatives, processes, policies and operations. </w:t>
      </w:r>
    </w:p>
    <w:p w14:paraId="56E805ED" w14:textId="459537BA" w:rsidR="0052226E" w:rsidRPr="00E20A46" w:rsidRDefault="0052226E" w:rsidP="003B3078">
      <w:pPr>
        <w:pStyle w:val="Heading3"/>
        <w:rPr>
          <w:rFonts w:asciiTheme="minorHAnsi" w:hAnsiTheme="minorHAnsi" w:cstheme="minorHAnsi"/>
        </w:rPr>
      </w:pPr>
      <w:r w:rsidRPr="00230762">
        <w:rPr>
          <w:rFonts w:asciiTheme="minorHAnsi" w:hAnsiTheme="minorHAnsi" w:cstheme="minorHAnsi"/>
        </w:rPr>
        <w:t xml:space="preserve">First milestone payment </w:t>
      </w:r>
      <w:r w:rsidRPr="00E20A46">
        <w:rPr>
          <w:rFonts w:asciiTheme="minorHAnsi" w:hAnsiTheme="minorHAnsi" w:cstheme="minorHAnsi"/>
        </w:rPr>
        <w:t>(Final EPP)</w:t>
      </w:r>
    </w:p>
    <w:p w14:paraId="65B17864" w14:textId="12B96773" w:rsidR="0052226E" w:rsidRDefault="0052226E" w:rsidP="0052226E">
      <w:pPr>
        <w:jc w:val="both"/>
      </w:pPr>
      <w:r w:rsidRPr="000D1DC6">
        <w:t xml:space="preserve">The EPP is to be finalised and agreed by the Commonwealth </w:t>
      </w:r>
      <w:r w:rsidRPr="000D1DC6" w:rsidDel="00023307">
        <w:t>before the</w:t>
      </w:r>
      <w:r w:rsidRPr="000D1DC6">
        <w:t xml:space="preserve"> first milestone payment is made under the grant agreement. It will demonstrate significant consultation with stakeholders to develop strategies, policies or initiatives that ensure appropriate Aboriginal and Torres Strait Islander engagement underpins the Project. </w:t>
      </w:r>
    </w:p>
    <w:p w14:paraId="7A3D05E9" w14:textId="5B07D8D9" w:rsidR="0052226E" w:rsidRDefault="0052226E" w:rsidP="003B3078">
      <w:pPr>
        <w:pStyle w:val="Heading2"/>
        <w:rPr>
          <w:color w:val="6D6F72" w:themeColor="accent1" w:themeShade="BF"/>
          <w:sz w:val="26"/>
          <w:szCs w:val="26"/>
        </w:rPr>
      </w:pPr>
      <w:r w:rsidRPr="00230762">
        <w:rPr>
          <w:rFonts w:asciiTheme="minorHAnsi" w:hAnsiTheme="minorHAnsi" w:cstheme="minorHAnsi"/>
        </w:rPr>
        <w:t>How to complete your draft EPP</w:t>
      </w:r>
    </w:p>
    <w:p w14:paraId="2DE5995D" w14:textId="506E4CCE" w:rsidR="00980B32" w:rsidRPr="00086B25" w:rsidRDefault="00980B32" w:rsidP="003B3078">
      <w:pPr>
        <w:pStyle w:val="Heading3"/>
        <w:rPr>
          <w:rFonts w:asciiTheme="minorHAnsi" w:hAnsiTheme="minorHAnsi" w:cstheme="minorHAnsi"/>
        </w:rPr>
      </w:pPr>
      <w:r w:rsidRPr="00230762">
        <w:rPr>
          <w:rFonts w:asciiTheme="minorHAnsi" w:hAnsiTheme="minorHAnsi" w:cstheme="minorHAnsi"/>
        </w:rPr>
        <w:t>Enga</w:t>
      </w:r>
      <w:r w:rsidRPr="00086B25">
        <w:rPr>
          <w:rFonts w:asciiTheme="minorHAnsi" w:hAnsiTheme="minorHAnsi" w:cstheme="minorHAnsi"/>
        </w:rPr>
        <w:t>gement activities</w:t>
      </w:r>
    </w:p>
    <w:p w14:paraId="073AB368" w14:textId="47F06E08" w:rsidR="000D1DC6" w:rsidRPr="000D1DC6" w:rsidRDefault="000D1DC6" w:rsidP="0052226E">
      <w:r w:rsidRPr="000D1DC6">
        <w:t xml:space="preserve">Applicants </w:t>
      </w:r>
      <w:r w:rsidR="0052226E">
        <w:t>are</w:t>
      </w:r>
      <w:r w:rsidRPr="000D1DC6">
        <w:t xml:space="preserve"> required to identify opportunities in the project for Aboriginal and Torres Strait Islander participation in procurement and employment as well as identify any local business groups and Aboriginal and Torres Strait Islander leaders to approach to provide input into the participation plan.  You should also identify any state or local government conditions/policies relating to engagement with or employment of Traditional Owners and other </w:t>
      </w:r>
      <w:r w:rsidR="00103B0B" w:rsidRPr="00103B0B">
        <w:t>Aboriginal and Torres Strait Islander</w:t>
      </w:r>
      <w:r w:rsidRPr="000D1DC6">
        <w:t xml:space="preserve"> people with interests that apply to the project and any native title, Land Rights, sacred site or cultural heritage protection considerations.</w:t>
      </w:r>
    </w:p>
    <w:p w14:paraId="720149F6" w14:textId="0D00A556" w:rsidR="000D1DC6" w:rsidRDefault="000D1DC6" w:rsidP="007269C4">
      <w:r w:rsidRPr="000D1DC6">
        <w:t xml:space="preserve">The below is a list of potential examples and opportunities for Aboriginal and Torres Strait Islander engagement for you to consider for your Aboriginal and Torres Strait Islander EPP. </w:t>
      </w:r>
    </w:p>
    <w:p w14:paraId="6BBD3218" w14:textId="735B915E" w:rsidR="00323684" w:rsidRPr="00DF74A9" w:rsidRDefault="00023307" w:rsidP="00230762">
      <w:pPr>
        <w:pStyle w:val="ListParagraph"/>
        <w:numPr>
          <w:ilvl w:val="0"/>
          <w:numId w:val="35"/>
        </w:numPr>
        <w:spacing w:after="0"/>
      </w:pPr>
      <w:r>
        <w:t>C</w:t>
      </w:r>
      <w:r w:rsidRPr="00023307">
        <w:t>ommunity</w:t>
      </w:r>
      <w:r w:rsidR="00512C07">
        <w:t xml:space="preserve"> consultation and collaboration</w:t>
      </w:r>
      <w:r w:rsidR="00DF74A9" w:rsidRPr="00DF74A9">
        <w:t>:</w:t>
      </w:r>
    </w:p>
    <w:p w14:paraId="5437B19D" w14:textId="492E19C0" w:rsidR="00323684" w:rsidRPr="00DF74A9" w:rsidRDefault="00323684" w:rsidP="00230762">
      <w:pPr>
        <w:numPr>
          <w:ilvl w:val="1"/>
          <w:numId w:val="35"/>
        </w:numPr>
        <w:contextualSpacing/>
      </w:pPr>
      <w:r>
        <w:t>Engagement</w:t>
      </w:r>
      <w:r w:rsidRPr="00DF74A9">
        <w:t xml:space="preserve"> with local </w:t>
      </w:r>
      <w:r w:rsidR="008940E3" w:rsidRPr="008940E3">
        <w:t>Aborig</w:t>
      </w:r>
      <w:r w:rsidR="008940E3">
        <w:t>inal and Torres Strait Islander</w:t>
      </w:r>
      <w:r w:rsidRPr="00DF74A9">
        <w:t xml:space="preserve"> leaders and business groups</w:t>
      </w:r>
    </w:p>
    <w:p w14:paraId="40E356C6" w14:textId="6B5ACFB4" w:rsidR="00DF74A9" w:rsidRPr="00DF74A9" w:rsidRDefault="00512C07" w:rsidP="00230762">
      <w:pPr>
        <w:numPr>
          <w:ilvl w:val="1"/>
          <w:numId w:val="35"/>
        </w:numPr>
        <w:spacing w:after="0"/>
        <w:contextualSpacing/>
      </w:pPr>
      <w:r>
        <w:t xml:space="preserve">Implementing a </w:t>
      </w:r>
      <w:r w:rsidR="00DF74A9" w:rsidRPr="00DF74A9">
        <w:t>Reconciliation Action Plan</w:t>
      </w:r>
    </w:p>
    <w:p w14:paraId="5BE13FD6" w14:textId="6A7373CB" w:rsidR="00F27400" w:rsidRPr="00DF74A9" w:rsidRDefault="00F27400" w:rsidP="00230762">
      <w:pPr>
        <w:numPr>
          <w:ilvl w:val="1"/>
          <w:numId w:val="35"/>
        </w:numPr>
        <w:spacing w:after="0"/>
        <w:contextualSpacing/>
      </w:pPr>
      <w:r>
        <w:t>Establish</w:t>
      </w:r>
      <w:r w:rsidR="00B775CD">
        <w:t>ing</w:t>
      </w:r>
      <w:r>
        <w:t xml:space="preserve"> a Traditional Owner Liaison Officer </w:t>
      </w:r>
    </w:p>
    <w:p w14:paraId="1B08DFC5" w14:textId="77777777" w:rsidR="00DF74A9" w:rsidRPr="00DF74A9" w:rsidRDefault="00DF74A9" w:rsidP="00230762">
      <w:pPr>
        <w:pStyle w:val="ListParagraph"/>
        <w:keepNext/>
        <w:numPr>
          <w:ilvl w:val="0"/>
          <w:numId w:val="35"/>
        </w:numPr>
        <w:spacing w:before="240" w:after="0"/>
      </w:pPr>
      <w:r w:rsidRPr="00DF74A9">
        <w:t>Employment:</w:t>
      </w:r>
    </w:p>
    <w:p w14:paraId="3E7D560B" w14:textId="77777777" w:rsidR="00DF74A9" w:rsidRPr="00DF74A9" w:rsidRDefault="00DF74A9" w:rsidP="00230762">
      <w:pPr>
        <w:numPr>
          <w:ilvl w:val="1"/>
          <w:numId w:val="35"/>
        </w:numPr>
        <w:contextualSpacing/>
      </w:pPr>
      <w:r w:rsidRPr="00DF74A9">
        <w:t xml:space="preserve">Employment targets </w:t>
      </w:r>
    </w:p>
    <w:p w14:paraId="695AB6CA" w14:textId="77777777" w:rsidR="00DF74A9" w:rsidRPr="00DF74A9" w:rsidRDefault="00DF74A9" w:rsidP="00230762">
      <w:pPr>
        <w:numPr>
          <w:ilvl w:val="1"/>
          <w:numId w:val="35"/>
        </w:numPr>
        <w:contextualSpacing/>
      </w:pPr>
      <w:r w:rsidRPr="00DF74A9">
        <w:t>Affirmative recruitment practices</w:t>
      </w:r>
    </w:p>
    <w:p w14:paraId="58235892" w14:textId="3F4D283F" w:rsidR="00DF74A9" w:rsidRPr="00DF74A9" w:rsidRDefault="00DF74A9" w:rsidP="00230762">
      <w:pPr>
        <w:numPr>
          <w:ilvl w:val="1"/>
          <w:numId w:val="35"/>
        </w:numPr>
        <w:contextualSpacing/>
      </w:pPr>
      <w:r w:rsidRPr="00DF74A9">
        <w:t xml:space="preserve">Targeted communications about vacancy </w:t>
      </w:r>
    </w:p>
    <w:p w14:paraId="5F09B62C" w14:textId="7E737DBC" w:rsidR="00DF74A9" w:rsidRPr="00DF74A9" w:rsidRDefault="00323684" w:rsidP="00230762">
      <w:pPr>
        <w:numPr>
          <w:ilvl w:val="1"/>
          <w:numId w:val="35"/>
        </w:numPr>
        <w:contextualSpacing/>
      </w:pPr>
      <w:r w:rsidRPr="00323684">
        <w:t xml:space="preserve">Aboriginal and Torres </w:t>
      </w:r>
      <w:r>
        <w:t>Strait Islander</w:t>
      </w:r>
      <w:r w:rsidR="00DF74A9" w:rsidRPr="00DF74A9">
        <w:t xml:space="preserve"> Employee Network/s</w:t>
      </w:r>
    </w:p>
    <w:p w14:paraId="129EADB9" w14:textId="77777777" w:rsidR="00DF74A9" w:rsidRPr="00DF74A9" w:rsidRDefault="00DF74A9" w:rsidP="00230762">
      <w:pPr>
        <w:numPr>
          <w:ilvl w:val="1"/>
          <w:numId w:val="35"/>
        </w:numPr>
        <w:contextualSpacing/>
      </w:pPr>
      <w:r w:rsidRPr="00DF74A9">
        <w:t>Cultural leave for days of significance</w:t>
      </w:r>
    </w:p>
    <w:p w14:paraId="6C7B4FB9" w14:textId="06025171" w:rsidR="00DF74A9" w:rsidRPr="00DF74A9" w:rsidRDefault="003C61A2" w:rsidP="00230762">
      <w:pPr>
        <w:numPr>
          <w:ilvl w:val="1"/>
          <w:numId w:val="35"/>
        </w:numPr>
        <w:contextualSpacing/>
      </w:pPr>
      <w:r w:rsidRPr="003C61A2">
        <w:t>Aborig</w:t>
      </w:r>
      <w:r>
        <w:t>inal and Torres Strait Islander</w:t>
      </w:r>
      <w:r w:rsidR="00DF74A9" w:rsidRPr="00DF74A9">
        <w:t xml:space="preserve"> employment advisors </w:t>
      </w:r>
    </w:p>
    <w:p w14:paraId="51AE4AEA" w14:textId="77777777" w:rsidR="00DF74A9" w:rsidRPr="00DF74A9" w:rsidRDefault="00DF74A9" w:rsidP="00230762">
      <w:pPr>
        <w:numPr>
          <w:ilvl w:val="1"/>
          <w:numId w:val="35"/>
        </w:numPr>
        <w:contextualSpacing/>
      </w:pPr>
      <w:r w:rsidRPr="00DF74A9">
        <w:t xml:space="preserve">Education and skills training for Aboriginal and Torres Strait Islander employees </w:t>
      </w:r>
    </w:p>
    <w:p w14:paraId="267CE3A0" w14:textId="77777777" w:rsidR="00DF74A9" w:rsidRPr="00DF74A9" w:rsidRDefault="00DF74A9" w:rsidP="00230762">
      <w:pPr>
        <w:numPr>
          <w:ilvl w:val="1"/>
          <w:numId w:val="35"/>
        </w:numPr>
        <w:contextualSpacing/>
      </w:pPr>
      <w:r w:rsidRPr="00DF74A9">
        <w:lastRenderedPageBreak/>
        <w:t xml:space="preserve">Cultural awareness training sessions </w:t>
      </w:r>
    </w:p>
    <w:p w14:paraId="20354B31" w14:textId="77777777" w:rsidR="00DF74A9" w:rsidRPr="00DF74A9" w:rsidRDefault="00DF74A9" w:rsidP="00230762">
      <w:pPr>
        <w:numPr>
          <w:ilvl w:val="1"/>
          <w:numId w:val="35"/>
        </w:numPr>
        <w:contextualSpacing/>
      </w:pPr>
      <w:r w:rsidRPr="00DF74A9">
        <w:t>Retention plans</w:t>
      </w:r>
    </w:p>
    <w:p w14:paraId="37925704" w14:textId="77777777" w:rsidR="00DF74A9" w:rsidRPr="00DF74A9" w:rsidRDefault="00DF74A9" w:rsidP="00230762">
      <w:pPr>
        <w:pStyle w:val="ListParagraph"/>
        <w:numPr>
          <w:ilvl w:val="0"/>
          <w:numId w:val="35"/>
        </w:numPr>
        <w:spacing w:before="240" w:after="0"/>
      </w:pPr>
      <w:r w:rsidRPr="00DF74A9">
        <w:t>Procurement:</w:t>
      </w:r>
    </w:p>
    <w:p w14:paraId="0421017C" w14:textId="77777777" w:rsidR="00DF74A9" w:rsidRDefault="00DF74A9" w:rsidP="00230762">
      <w:pPr>
        <w:numPr>
          <w:ilvl w:val="1"/>
          <w:numId w:val="35"/>
        </w:numPr>
        <w:spacing w:after="0"/>
        <w:contextualSpacing/>
      </w:pPr>
      <w:r w:rsidRPr="00DF74A9">
        <w:t>Procurement targets</w:t>
      </w:r>
    </w:p>
    <w:p w14:paraId="7A34BCC3" w14:textId="3330AF37" w:rsidR="00023307" w:rsidRPr="00DF74A9" w:rsidRDefault="00023307" w:rsidP="00230762">
      <w:pPr>
        <w:numPr>
          <w:ilvl w:val="1"/>
          <w:numId w:val="35"/>
        </w:numPr>
        <w:spacing w:after="0"/>
        <w:contextualSpacing/>
      </w:pPr>
      <w:r>
        <w:t xml:space="preserve">Use of </w:t>
      </w:r>
      <w:hyperlink r:id="rId8" w:history="1">
        <w:r w:rsidRPr="005D22C5">
          <w:rPr>
            <w:rStyle w:val="Hyperlink"/>
          </w:rPr>
          <w:t>Supply Nation</w:t>
        </w:r>
      </w:hyperlink>
      <w:r>
        <w:t xml:space="preserve"> </w:t>
      </w:r>
      <w:r w:rsidR="00C253A9">
        <w:t xml:space="preserve">or </w:t>
      </w:r>
      <w:hyperlink r:id="rId9" w:history="1">
        <w:r w:rsidR="00C253A9" w:rsidRPr="00B46F62">
          <w:rPr>
            <w:rStyle w:val="Hyperlink"/>
          </w:rPr>
          <w:t>O</w:t>
        </w:r>
        <w:r w:rsidR="00B46F62" w:rsidRPr="00B46F62">
          <w:rPr>
            <w:rStyle w:val="Hyperlink"/>
          </w:rPr>
          <w:t>ffice of the Registrar of Indigenous Corporations (ORIC)</w:t>
        </w:r>
      </w:hyperlink>
      <w:r w:rsidR="00C253A9">
        <w:t xml:space="preserve"> </w:t>
      </w:r>
      <w:r>
        <w:t>businesses</w:t>
      </w:r>
    </w:p>
    <w:p w14:paraId="69C1F9A9" w14:textId="63E20F46" w:rsidR="002B6FCF" w:rsidRPr="00DF74A9" w:rsidRDefault="002B6FCF" w:rsidP="00230762">
      <w:pPr>
        <w:numPr>
          <w:ilvl w:val="1"/>
          <w:numId w:val="35"/>
        </w:numPr>
        <w:spacing w:after="0"/>
        <w:contextualSpacing/>
      </w:pPr>
      <w:r w:rsidRPr="002B6FCF">
        <w:t>Targeted communications</w:t>
      </w:r>
      <w:r>
        <w:t xml:space="preserve"> </w:t>
      </w:r>
      <w:r w:rsidRPr="002B6FCF">
        <w:t>procurement opportunities</w:t>
      </w:r>
    </w:p>
    <w:p w14:paraId="01429B09" w14:textId="390C1033" w:rsidR="00DF74A9" w:rsidRPr="00DF74A9" w:rsidRDefault="00DF74A9" w:rsidP="00230762">
      <w:pPr>
        <w:numPr>
          <w:ilvl w:val="1"/>
          <w:numId w:val="35"/>
        </w:numPr>
        <w:spacing w:after="0"/>
        <w:contextualSpacing/>
      </w:pPr>
      <w:r w:rsidRPr="00DF74A9">
        <w:t xml:space="preserve">Opportunities for </w:t>
      </w:r>
      <w:r w:rsidR="003C61A2" w:rsidRPr="003C61A2">
        <w:t>Aborig</w:t>
      </w:r>
      <w:r w:rsidR="003C61A2">
        <w:t>inal and Torres Strait Islander</w:t>
      </w:r>
      <w:r w:rsidR="0096374F">
        <w:t xml:space="preserve"> led development</w:t>
      </w:r>
      <w:r w:rsidRPr="00DF74A9">
        <w:t xml:space="preserve"> </w:t>
      </w:r>
    </w:p>
    <w:p w14:paraId="73426974" w14:textId="64490BBF" w:rsidR="00DF74A9" w:rsidRPr="00DF74A9" w:rsidRDefault="0096374F" w:rsidP="00230762">
      <w:pPr>
        <w:numPr>
          <w:ilvl w:val="1"/>
          <w:numId w:val="35"/>
        </w:numPr>
        <w:spacing w:after="0"/>
        <w:contextualSpacing/>
      </w:pPr>
      <w:r>
        <w:t>Business development assistance</w:t>
      </w:r>
      <w:r w:rsidR="00DF74A9" w:rsidRPr="00DF74A9">
        <w:t xml:space="preserve"> </w:t>
      </w:r>
    </w:p>
    <w:p w14:paraId="55D48864" w14:textId="483786F2" w:rsidR="00DF74A9" w:rsidRPr="00DF74A9" w:rsidRDefault="00DF74A9" w:rsidP="00230762">
      <w:pPr>
        <w:numPr>
          <w:ilvl w:val="1"/>
          <w:numId w:val="35"/>
        </w:numPr>
        <w:spacing w:after="0"/>
        <w:contextualSpacing/>
      </w:pPr>
      <w:r w:rsidRPr="00DF74A9">
        <w:t>Assistance to access exis</w:t>
      </w:r>
      <w:r w:rsidR="0096374F">
        <w:t>ting business support programs</w:t>
      </w:r>
    </w:p>
    <w:p w14:paraId="08167F55" w14:textId="6C3BFF29" w:rsidR="0052226E" w:rsidRPr="00DF74A9" w:rsidRDefault="0096374F" w:rsidP="00230762">
      <w:pPr>
        <w:numPr>
          <w:ilvl w:val="1"/>
          <w:numId w:val="35"/>
        </w:numPr>
        <w:contextualSpacing/>
      </w:pPr>
      <w:r>
        <w:t>Business mentoring</w:t>
      </w:r>
    </w:p>
    <w:p w14:paraId="5DDE1F64" w14:textId="77777777" w:rsidR="00DF74A9" w:rsidRPr="00DF74A9" w:rsidRDefault="00DF74A9" w:rsidP="00230762">
      <w:pPr>
        <w:pStyle w:val="ListParagraph"/>
        <w:numPr>
          <w:ilvl w:val="0"/>
          <w:numId w:val="35"/>
        </w:numPr>
        <w:spacing w:before="240" w:after="0"/>
      </w:pPr>
      <w:r w:rsidRPr="00DF74A9">
        <w:t>Other:</w:t>
      </w:r>
    </w:p>
    <w:p w14:paraId="684B8C22" w14:textId="77777777" w:rsidR="00DF74A9" w:rsidRPr="00DF74A9" w:rsidRDefault="00DF74A9" w:rsidP="00230762">
      <w:pPr>
        <w:numPr>
          <w:ilvl w:val="1"/>
          <w:numId w:val="35"/>
        </w:numPr>
        <w:autoSpaceDE w:val="0"/>
        <w:autoSpaceDN w:val="0"/>
        <w:adjustRightInd w:val="0"/>
        <w:spacing w:after="0" w:line="240" w:lineRule="auto"/>
        <w:rPr>
          <w:rFonts w:ascii="Calibri" w:hAnsi="Calibri" w:cs="Calibri"/>
          <w:color w:val="000000"/>
        </w:rPr>
      </w:pPr>
      <w:r w:rsidRPr="00DF74A9">
        <w:rPr>
          <w:rFonts w:ascii="Calibri" w:hAnsi="Calibri" w:cs="Calibri"/>
          <w:color w:val="000000"/>
        </w:rPr>
        <w:t>Programs for improving local or regional environmental issues.</w:t>
      </w:r>
    </w:p>
    <w:p w14:paraId="241EC883" w14:textId="20A5BE95" w:rsidR="00323684" w:rsidRDefault="00DF74A9" w:rsidP="00230762">
      <w:pPr>
        <w:numPr>
          <w:ilvl w:val="1"/>
          <w:numId w:val="35"/>
        </w:numPr>
        <w:spacing w:after="0"/>
        <w:contextualSpacing/>
      </w:pPr>
      <w:r w:rsidRPr="00DF74A9">
        <w:t xml:space="preserve">Programs for environmental protection, offsets or rehabilitation include direct </w:t>
      </w:r>
      <w:r w:rsidR="003C61A2" w:rsidRPr="003C61A2">
        <w:t>Aborig</w:t>
      </w:r>
      <w:r w:rsidR="003C61A2">
        <w:t xml:space="preserve">inal and Torres Strait Islander employment, or contracting to </w:t>
      </w:r>
      <w:r w:rsidR="003C61A2" w:rsidRPr="003C61A2">
        <w:t>Aborigi</w:t>
      </w:r>
      <w:r w:rsidR="003C61A2">
        <w:t xml:space="preserve">nal and Torres Strait Islander </w:t>
      </w:r>
      <w:r w:rsidRPr="00DF74A9">
        <w:t xml:space="preserve">businesses and groups, such as </w:t>
      </w:r>
      <w:r w:rsidR="003C61A2" w:rsidRPr="003C61A2">
        <w:t>Aborig</w:t>
      </w:r>
      <w:r w:rsidR="003C61A2">
        <w:t>inal and Torres Strait Islander</w:t>
      </w:r>
      <w:r w:rsidRPr="00DF74A9">
        <w:t xml:space="preserve"> ranger groups.</w:t>
      </w:r>
      <w:r w:rsidR="00323684" w:rsidRPr="00323684">
        <w:t xml:space="preserve"> </w:t>
      </w:r>
    </w:p>
    <w:p w14:paraId="3D50C480" w14:textId="7FF00C1C" w:rsidR="00DF74A9" w:rsidRDefault="00323684" w:rsidP="00230762">
      <w:pPr>
        <w:numPr>
          <w:ilvl w:val="1"/>
          <w:numId w:val="35"/>
        </w:numPr>
        <w:spacing w:after="0"/>
        <w:contextualSpacing/>
      </w:pPr>
      <w:r w:rsidRPr="00DF74A9">
        <w:t>Commitment to protect cultural heritage</w:t>
      </w:r>
    </w:p>
    <w:p w14:paraId="2F390FB2" w14:textId="77777777" w:rsidR="009820BA" w:rsidRPr="00DF74A9" w:rsidRDefault="009820BA" w:rsidP="009820BA">
      <w:pPr>
        <w:spacing w:after="0"/>
        <w:ind w:left="792"/>
        <w:contextualSpacing/>
      </w:pPr>
    </w:p>
    <w:p w14:paraId="328563D0" w14:textId="776D1988" w:rsidR="00980B32" w:rsidRDefault="00980B32" w:rsidP="003B3078">
      <w:pPr>
        <w:pStyle w:val="Heading3"/>
        <w:rPr>
          <w:color w:val="484A4C" w:themeColor="accent1" w:themeShade="7F"/>
          <w:sz w:val="24"/>
          <w:szCs w:val="24"/>
        </w:rPr>
      </w:pPr>
      <w:r w:rsidRPr="00230762">
        <w:rPr>
          <w:rFonts w:asciiTheme="minorHAnsi" w:hAnsiTheme="minorHAnsi" w:cstheme="minorHAnsi"/>
        </w:rPr>
        <w:t>Expected Impact and Measures of Success</w:t>
      </w:r>
    </w:p>
    <w:p w14:paraId="39E7A547" w14:textId="1F14D9B3" w:rsidR="00980B32" w:rsidRDefault="002B6FCF" w:rsidP="00FE6589">
      <w:r>
        <w:t xml:space="preserve">This is the measurable benefit of the </w:t>
      </w:r>
      <w:r w:rsidR="0084018A">
        <w:t>engagement activity</w:t>
      </w:r>
      <w:r>
        <w:t xml:space="preserve"> that can be reported by the applicant. Information in this section</w:t>
      </w:r>
      <w:r w:rsidR="009A2D77">
        <w:t xml:space="preserve"> could include projections for how many jobs</w:t>
      </w:r>
      <w:r>
        <w:t xml:space="preserve"> or </w:t>
      </w:r>
      <w:r w:rsidR="009A2D77">
        <w:t>contracts will be created</w:t>
      </w:r>
      <w:r>
        <w:t>;</w:t>
      </w:r>
      <w:r w:rsidR="009A2D77">
        <w:t xml:space="preserve"> how many classes</w:t>
      </w:r>
      <w:r>
        <w:t>, apprenticeships or supported study places</w:t>
      </w:r>
      <w:r w:rsidR="009A2D77">
        <w:t xml:space="preserve"> </w:t>
      </w:r>
      <w:r w:rsidR="00174D7A">
        <w:t xml:space="preserve">that </w:t>
      </w:r>
      <w:r w:rsidR="009A2D77">
        <w:t>will be available</w:t>
      </w:r>
      <w:r>
        <w:t>; or other reportable metrics the engagement</w:t>
      </w:r>
      <w:r w:rsidR="009A2D77">
        <w:t xml:space="preserve"> activities</w:t>
      </w:r>
      <w:r w:rsidR="0084018A">
        <w:t xml:space="preserve"> will deliver</w:t>
      </w:r>
      <w:r w:rsidR="009A2D77">
        <w:t xml:space="preserve">. </w:t>
      </w:r>
    </w:p>
    <w:p w14:paraId="3F4CF796" w14:textId="2A2293CE" w:rsidR="00980B32" w:rsidRDefault="00980B32" w:rsidP="003B3078">
      <w:pPr>
        <w:pStyle w:val="Heading3"/>
        <w:rPr>
          <w:color w:val="484A4C" w:themeColor="accent1" w:themeShade="7F"/>
          <w:sz w:val="24"/>
          <w:szCs w:val="24"/>
        </w:rPr>
      </w:pPr>
      <w:r w:rsidRPr="00230762">
        <w:rPr>
          <w:rFonts w:asciiTheme="minorHAnsi" w:hAnsiTheme="minorHAnsi" w:cstheme="minorHAnsi"/>
        </w:rPr>
        <w:t>Justification and Evidence</w:t>
      </w:r>
    </w:p>
    <w:p w14:paraId="69A3084B" w14:textId="7BD18485" w:rsidR="00980B32" w:rsidRDefault="002B6FCF" w:rsidP="00FE6589">
      <w:r>
        <w:t xml:space="preserve">This section is for the applicant to provide evidence of community consultation and research undertaken in the development of the EPP. </w:t>
      </w:r>
      <w:r w:rsidR="0084018A">
        <w:t>In this section applicants should demonstrate how</w:t>
      </w:r>
      <w:r>
        <w:t xml:space="preserve"> the chosen activities </w:t>
      </w:r>
      <w:r w:rsidRPr="002B6FCF">
        <w:t>will be effective</w:t>
      </w:r>
      <w:r>
        <w:t xml:space="preserve"> and are </w:t>
      </w:r>
      <w:r w:rsidRPr="002B6FCF">
        <w:t xml:space="preserve">commensurate with the nature, scope and location of the project, </w:t>
      </w:r>
      <w:r w:rsidR="00E905B8">
        <w:t xml:space="preserve">the needs of the local Aboriginal and Torres Strait Islander community </w:t>
      </w:r>
      <w:r w:rsidRPr="002B6FCF">
        <w:t>and the capacity of the proponent.</w:t>
      </w:r>
    </w:p>
    <w:p w14:paraId="4510517D" w14:textId="77777777" w:rsidR="000D1DC6" w:rsidRPr="00230762" w:rsidRDefault="000D1DC6" w:rsidP="003B3078">
      <w:pPr>
        <w:pStyle w:val="Heading3"/>
        <w:rPr>
          <w:rFonts w:asciiTheme="minorHAnsi" w:hAnsiTheme="minorHAnsi" w:cstheme="minorHAnsi"/>
          <w:color w:val="6D6F72" w:themeColor="accent1" w:themeShade="BF"/>
          <w:sz w:val="26"/>
          <w:szCs w:val="26"/>
        </w:rPr>
      </w:pPr>
      <w:r w:rsidRPr="00230762">
        <w:rPr>
          <w:rFonts w:asciiTheme="minorHAnsi" w:hAnsiTheme="minorHAnsi" w:cstheme="minorHAnsi"/>
        </w:rPr>
        <w:t>Setting Targets</w:t>
      </w:r>
    </w:p>
    <w:p w14:paraId="031FDE54" w14:textId="77777777" w:rsidR="00C253A9" w:rsidRPr="00C253A9" w:rsidRDefault="000D1DC6" w:rsidP="00C253A9">
      <w:r w:rsidRPr="000D1DC6">
        <w:t xml:space="preserve">Targets are not mandatory in the Aboriginal and Torres Strait Islander EPP but may be an appropriate choice for some applicants to measure progress and set clear and achievable goals. If using procurement or employment targets we suggest that they are set to reflect the local Aboriginal and Torres Strait Islander working age population. </w:t>
      </w:r>
      <w:r w:rsidR="00C253A9" w:rsidRPr="00C253A9">
        <w:t xml:space="preserve">A useful definition of local is to use the Local Government Area (LGA) where the project will be located. </w:t>
      </w:r>
    </w:p>
    <w:p w14:paraId="78A0FDB3" w14:textId="5323FC3C" w:rsidR="00C253A9" w:rsidRPr="00C253A9" w:rsidRDefault="00C253A9" w:rsidP="00C253A9">
      <w:pPr>
        <w:rPr>
          <w:rFonts w:ascii="Times New Roman" w:hAnsi="Times New Roman" w:cs="Times New Roman"/>
          <w:sz w:val="24"/>
          <w:szCs w:val="24"/>
        </w:rPr>
      </w:pPr>
      <w:r w:rsidRPr="00C253A9">
        <w:t xml:space="preserve">The Australian Bureau of Statistics can assist you to determine a target for your project for a fee at </w:t>
      </w:r>
      <w:hyperlink r:id="rId10" w:history="1">
        <w:r w:rsidRPr="009A68E6">
          <w:rPr>
            <w:rStyle w:val="Hyperlink"/>
            <w:rFonts w:cstheme="minorHAnsi"/>
            <w:szCs w:val="24"/>
          </w:rPr>
          <w:t>https://www4.abs.gov.au/web/survey.nsf/contactform</w:t>
        </w:r>
      </w:hyperlink>
      <w:r w:rsidR="006E536D">
        <w:rPr>
          <w:rFonts w:cstheme="minorHAnsi"/>
          <w:szCs w:val="24"/>
        </w:rPr>
        <w:t>.</w:t>
      </w:r>
    </w:p>
    <w:p w14:paraId="1E1302DA" w14:textId="3C36919A" w:rsidR="000D1DC6" w:rsidRPr="000D1DC6" w:rsidRDefault="00C253A9" w:rsidP="00C253A9">
      <w:r w:rsidRPr="00C253A9">
        <w:t xml:space="preserve">Alternatively, you could determine a target using the ABS Census website using the steps at </w:t>
      </w:r>
      <w:r w:rsidRPr="00AE2E28">
        <w:rPr>
          <w:u w:val="single"/>
        </w:rPr>
        <w:t>Attachment A.</w:t>
      </w:r>
    </w:p>
    <w:p w14:paraId="5A6121E3" w14:textId="5AE4176D" w:rsidR="000D1DC6" w:rsidRPr="000D1DC6" w:rsidRDefault="000D1DC6" w:rsidP="006E536D">
      <w:r w:rsidRPr="000D1DC6">
        <w:t xml:space="preserve">Employment </w:t>
      </w:r>
      <w:r w:rsidR="005261A8">
        <w:t xml:space="preserve">targets </w:t>
      </w:r>
      <w:r w:rsidRPr="000D1DC6">
        <w:t xml:space="preserve">can be </w:t>
      </w:r>
      <w:r w:rsidR="005261A8">
        <w:t>set</w:t>
      </w:r>
      <w:r w:rsidRPr="000D1DC6">
        <w:t xml:space="preserve"> </w:t>
      </w:r>
      <w:r w:rsidR="005261A8">
        <w:t>by using the</w:t>
      </w:r>
      <w:r w:rsidRPr="000D1DC6">
        <w:t xml:space="preserve"> </w:t>
      </w:r>
      <w:r w:rsidR="005261A8">
        <w:t>proportion</w:t>
      </w:r>
      <w:r w:rsidRPr="000D1DC6">
        <w:t xml:space="preserve"> of full-time equivalent (FTE) employees (not head count)</w:t>
      </w:r>
      <w:r w:rsidR="006E536D">
        <w:t xml:space="preserve"> or </w:t>
      </w:r>
      <w:r w:rsidR="005261A8">
        <w:t xml:space="preserve">proportion of </w:t>
      </w:r>
      <w:r w:rsidR="006E536D">
        <w:t>total labour hours</w:t>
      </w:r>
      <w:r w:rsidR="00C57AC5">
        <w:t>. Procurement (s</w:t>
      </w:r>
      <w:r w:rsidRPr="000D1DC6">
        <w:t xml:space="preserve">upplier-use) can be measured by </w:t>
      </w:r>
      <w:r w:rsidRPr="000D1DC6">
        <w:lastRenderedPageBreak/>
        <w:t xml:space="preserve">percentage of </w:t>
      </w:r>
      <w:r w:rsidR="005261A8">
        <w:t xml:space="preserve">total project </w:t>
      </w:r>
      <w:r w:rsidRPr="000D1DC6">
        <w:t xml:space="preserve">contract spend, </w:t>
      </w:r>
      <w:r w:rsidR="002B6FCF">
        <w:t xml:space="preserve">or </w:t>
      </w:r>
      <w:r w:rsidRPr="000D1DC6">
        <w:t xml:space="preserve">calculated </w:t>
      </w:r>
      <w:r w:rsidR="005261A8">
        <w:t xml:space="preserve">as </w:t>
      </w:r>
      <w:r w:rsidRPr="000D1DC6">
        <w:t xml:space="preserve">the </w:t>
      </w:r>
      <w:r w:rsidR="005261A8">
        <w:t xml:space="preserve">proportion of </w:t>
      </w:r>
      <w:r w:rsidRPr="000D1DC6">
        <w:t>the number of contracts</w:t>
      </w:r>
      <w:r w:rsidR="005261A8">
        <w:t>,</w:t>
      </w:r>
      <w:r w:rsidRPr="000D1DC6">
        <w:t xml:space="preserve"> </w:t>
      </w:r>
      <w:r w:rsidR="005261A8">
        <w:t>if detailed contract</w:t>
      </w:r>
      <w:r w:rsidRPr="000D1DC6">
        <w:t xml:space="preserve"> value</w:t>
      </w:r>
      <w:r w:rsidR="002B6FCF">
        <w:t xml:space="preserve"> </w:t>
      </w:r>
      <w:r w:rsidR="005261A8">
        <w:t>data</w:t>
      </w:r>
      <w:r w:rsidR="002B6FCF">
        <w:t xml:space="preserve"> is not available</w:t>
      </w:r>
      <w:r w:rsidR="00F901EA">
        <w:t xml:space="preserve"> (this is not preferred)</w:t>
      </w:r>
      <w:r w:rsidR="005261A8">
        <w:t xml:space="preserve">. </w:t>
      </w:r>
    </w:p>
    <w:p w14:paraId="5B5DE03F" w14:textId="77777777" w:rsidR="000D1DC6" w:rsidRPr="000D1DC6" w:rsidRDefault="000D1DC6" w:rsidP="000D1DC6">
      <w:r w:rsidRPr="000D1DC6">
        <w:t>Adjustments to this methodology could include considerations (lowering or raising targets) of the following factors:</w:t>
      </w:r>
    </w:p>
    <w:p w14:paraId="3B70C879" w14:textId="56458354" w:rsidR="000D1DC6" w:rsidRPr="000D1DC6" w:rsidRDefault="000D1DC6" w:rsidP="000D1DC6">
      <w:pPr>
        <w:numPr>
          <w:ilvl w:val="0"/>
          <w:numId w:val="14"/>
        </w:numPr>
        <w:contextualSpacing/>
      </w:pPr>
      <w:r w:rsidRPr="000D1DC6">
        <w:t xml:space="preserve">the local employment market, including in terms of the number of </w:t>
      </w:r>
      <w:r w:rsidR="00103B0B" w:rsidRPr="00103B0B">
        <w:t>Aboriginal and Torres Strait Islander</w:t>
      </w:r>
      <w:r w:rsidRPr="000D1DC6">
        <w:t xml:space="preserve"> businesses, workers and job seekers, and their relevant skills, capabilities, qualifications and training;</w:t>
      </w:r>
    </w:p>
    <w:p w14:paraId="70C79FE6" w14:textId="77777777" w:rsidR="000D1DC6" w:rsidRPr="000D1DC6" w:rsidRDefault="000D1DC6" w:rsidP="000D1DC6">
      <w:pPr>
        <w:numPr>
          <w:ilvl w:val="0"/>
          <w:numId w:val="14"/>
        </w:numPr>
        <w:contextualSpacing/>
      </w:pPr>
      <w:r w:rsidRPr="000D1DC6">
        <w:t>the scale, value and location of the project, and skills and capabilities required to deliver the project;</w:t>
      </w:r>
    </w:p>
    <w:p w14:paraId="354E2182" w14:textId="678DC62B" w:rsidR="000D1DC6" w:rsidRPr="000D1DC6" w:rsidRDefault="000D1DC6" w:rsidP="000D1DC6">
      <w:pPr>
        <w:numPr>
          <w:ilvl w:val="0"/>
          <w:numId w:val="14"/>
        </w:numPr>
        <w:contextualSpacing/>
      </w:pPr>
      <w:r w:rsidRPr="000D1DC6">
        <w:t xml:space="preserve">the availability of supply-side services to support the meeting of any targets and assist build the capacity of </w:t>
      </w:r>
      <w:r w:rsidR="00103B0B" w:rsidRPr="00103B0B">
        <w:t>Aboriginal and Torres Strait Islander</w:t>
      </w:r>
      <w:r w:rsidRPr="000D1DC6">
        <w:t xml:space="preserve"> businesses and job-seekers to take up opportunities; and</w:t>
      </w:r>
    </w:p>
    <w:p w14:paraId="37A05C31" w14:textId="28E2C0FC" w:rsidR="00C253A9" w:rsidRDefault="000D1DC6" w:rsidP="003D2E3E">
      <w:pPr>
        <w:numPr>
          <w:ilvl w:val="0"/>
          <w:numId w:val="14"/>
        </w:numPr>
        <w:contextualSpacing/>
      </w:pPr>
      <w:proofErr w:type="gramStart"/>
      <w:r w:rsidRPr="000D1DC6">
        <w:t>existing</w:t>
      </w:r>
      <w:proofErr w:type="gramEnd"/>
      <w:r w:rsidRPr="000D1DC6">
        <w:t xml:space="preserve"> State-level policies and/or targets.</w:t>
      </w:r>
    </w:p>
    <w:p w14:paraId="3F849BF5" w14:textId="77777777" w:rsidR="001A2291" w:rsidRPr="00EE7585" w:rsidRDefault="001A2291" w:rsidP="001A2291">
      <w:pPr>
        <w:pStyle w:val="Heading4"/>
        <w:rPr>
          <w:rFonts w:asciiTheme="minorHAnsi" w:hAnsiTheme="minorHAnsi" w:cstheme="minorHAnsi"/>
          <w:sz w:val="26"/>
          <w:szCs w:val="26"/>
        </w:rPr>
      </w:pPr>
      <w:r w:rsidRPr="00EE7585">
        <w:rPr>
          <w:rFonts w:asciiTheme="minorHAnsi" w:hAnsiTheme="minorHAnsi" w:cstheme="minorHAnsi"/>
          <w:sz w:val="26"/>
          <w:szCs w:val="26"/>
        </w:rPr>
        <w:t xml:space="preserve">‘Local first’ principle </w:t>
      </w:r>
    </w:p>
    <w:p w14:paraId="09B83229" w14:textId="576030BD" w:rsidR="001A2291" w:rsidRPr="000D1DC6" w:rsidRDefault="001A2291" w:rsidP="001A2291">
      <w:r>
        <w:t xml:space="preserve">EPP’s are intended to result in tangible economic and social benefits for local </w:t>
      </w:r>
      <w:r w:rsidRPr="00103B0B">
        <w:t>Aboriginal and Torres Strait Islander</w:t>
      </w:r>
      <w:r>
        <w:t xml:space="preserve"> people living in communities in the area of the project. To this end, ideally employees and contractors required for a project should be first sourced from within the local area. However, there may be circumstances where this approach is neither practical nor cost effective. Where necessary and culturally appropriate, the project may need to rely on </w:t>
      </w:r>
      <w:r w:rsidR="0042197A" w:rsidRPr="00103B0B">
        <w:t>Aboriginal and Torres Strait Islander</w:t>
      </w:r>
      <w:r>
        <w:t xml:space="preserve"> employees or contracted businesses from outside of the local area. Where local capacity is unable to meet the participation requirements, </w:t>
      </w:r>
      <w:r w:rsidRPr="00103B0B">
        <w:t>Aboriginal and Torres Strait Islander</w:t>
      </w:r>
      <w:r w:rsidRPr="00C253A9">
        <w:t xml:space="preserve"> </w:t>
      </w:r>
      <w:r>
        <w:t>people and businesses could then be sourced from the wider region and beyond.</w:t>
      </w:r>
    </w:p>
    <w:p w14:paraId="67B443C8" w14:textId="77777777" w:rsidR="000D1DC6" w:rsidRPr="0052226E" w:rsidRDefault="000D1DC6" w:rsidP="003B3078">
      <w:pPr>
        <w:pStyle w:val="Heading3"/>
        <w:rPr>
          <w:color w:val="494A4C" w:themeColor="accent1" w:themeShade="80"/>
          <w:sz w:val="24"/>
          <w:szCs w:val="24"/>
        </w:rPr>
      </w:pPr>
      <w:r w:rsidRPr="00230762">
        <w:rPr>
          <w:rFonts w:asciiTheme="minorHAnsi" w:hAnsiTheme="minorHAnsi" w:cstheme="minorHAnsi"/>
        </w:rPr>
        <w:t>Land use</w:t>
      </w:r>
    </w:p>
    <w:p w14:paraId="1C2CCCBD" w14:textId="3C352CDB" w:rsidR="00C253A9" w:rsidRPr="00C253A9" w:rsidRDefault="00C253A9" w:rsidP="00C253A9">
      <w:pPr>
        <w:spacing w:line="240" w:lineRule="auto"/>
      </w:pPr>
      <w:r w:rsidRPr="00C253A9">
        <w:t xml:space="preserve">Over 50 per cent of land in Australia has a recognised </w:t>
      </w:r>
      <w:r w:rsidR="00103B0B" w:rsidRPr="00103B0B">
        <w:t>Aboriginal and Torres Strait Islander</w:t>
      </w:r>
      <w:r w:rsidRPr="00C253A9">
        <w:t xml:space="preserve"> interest. </w:t>
      </w:r>
      <w:r w:rsidR="00103B0B" w:rsidRPr="00103B0B">
        <w:t>Aboriginal and Torres Strait Islander</w:t>
      </w:r>
      <w:r w:rsidRPr="00C253A9">
        <w:t xml:space="preserve"> people have rights in land under statutory systems and native title. Both these systems recognise the connection to country </w:t>
      </w:r>
      <w:r w:rsidR="00103B0B" w:rsidRPr="00103B0B">
        <w:t>Aboriginal and Torres Strait Islander</w:t>
      </w:r>
      <w:r w:rsidRPr="00C253A9">
        <w:t xml:space="preserve"> people have had for thousands of years and ensured that the connection Aboriginal people have to Country is respected and protected for generations.</w:t>
      </w:r>
    </w:p>
    <w:p w14:paraId="3C7386CD" w14:textId="53120ACE" w:rsidR="00C253A9" w:rsidRPr="00C253A9" w:rsidRDefault="00C253A9" w:rsidP="00C253A9">
      <w:pPr>
        <w:spacing w:line="240" w:lineRule="auto"/>
      </w:pPr>
      <w:r w:rsidRPr="00C253A9">
        <w:t xml:space="preserve">Both systems require consultation to occur with </w:t>
      </w:r>
      <w:r w:rsidR="00103B0B" w:rsidRPr="00103B0B">
        <w:t>Aboriginal and Torres Strait Islander</w:t>
      </w:r>
      <w:r w:rsidRPr="00C253A9">
        <w:t xml:space="preserve"> land holders in relation to development that affects their rights. This consultation takes a variety of forms, and may result in agreements to compensate </w:t>
      </w:r>
      <w:r w:rsidR="00103B0B" w:rsidRPr="00103B0B">
        <w:t>Aboriginal and Torres Strait Islander</w:t>
      </w:r>
      <w:r w:rsidRPr="00C253A9">
        <w:t xml:space="preserve"> people for the impact on their rights (or other payment or profit-sharing arrangement). </w:t>
      </w:r>
    </w:p>
    <w:p w14:paraId="099930D8" w14:textId="7D41A8FF" w:rsidR="000D1DC6" w:rsidRPr="000D1DC6" w:rsidRDefault="000D1DC6" w:rsidP="000D1DC6">
      <w:pPr>
        <w:spacing w:line="240" w:lineRule="auto"/>
      </w:pPr>
      <w:r w:rsidRPr="000D1DC6">
        <w:t xml:space="preserve">When developing the </w:t>
      </w:r>
      <w:r w:rsidR="00DD7E0E">
        <w:t>EPP</w:t>
      </w:r>
      <w:r w:rsidRPr="000D1DC6">
        <w:t xml:space="preserve"> applicants should consider native title and other agreements and Indigenous Land Use Agreements and also consult with relevant stakeholders including Land Councils, Native Title Representative Bodies, Prescribed Bodies Corporate, Registered Native Title Bodies Corporate, </w:t>
      </w:r>
      <w:r w:rsidR="00103B0B" w:rsidRPr="00103B0B">
        <w:t>Aboriginal and Torres Strait Islander</w:t>
      </w:r>
      <w:r w:rsidRPr="000D1DC6">
        <w:t xml:space="preserve"> business owners, the National Indigenous Australians Agency, State and Territory Governments </w:t>
      </w:r>
    </w:p>
    <w:p w14:paraId="7EBB06BA" w14:textId="479C0BDB" w:rsidR="002B6FCF" w:rsidRPr="00230762" w:rsidRDefault="002B6FCF" w:rsidP="003B3078">
      <w:pPr>
        <w:pStyle w:val="Heading3"/>
        <w:rPr>
          <w:rFonts w:asciiTheme="minorHAnsi" w:hAnsiTheme="minorHAnsi" w:cstheme="minorHAnsi"/>
          <w:color w:val="6D6F72" w:themeColor="accent1" w:themeShade="BF"/>
          <w:sz w:val="26"/>
          <w:szCs w:val="26"/>
        </w:rPr>
      </w:pPr>
      <w:r w:rsidRPr="00230762">
        <w:rPr>
          <w:rFonts w:asciiTheme="minorHAnsi" w:hAnsiTheme="minorHAnsi" w:cstheme="minorHAnsi"/>
        </w:rPr>
        <w:t>Reporting</w:t>
      </w:r>
    </w:p>
    <w:p w14:paraId="0706AFEE" w14:textId="0CF640C9" w:rsidR="002B6FCF" w:rsidRPr="000D1DC6" w:rsidRDefault="002B6FCF" w:rsidP="00BB0B60">
      <w:pPr>
        <w:spacing w:line="240" w:lineRule="auto"/>
      </w:pPr>
      <w:r>
        <w:t xml:space="preserve">The engagement activities </w:t>
      </w:r>
      <w:r w:rsidR="00BB0B60">
        <w:t xml:space="preserve">in </w:t>
      </w:r>
      <w:r>
        <w:t xml:space="preserve">the </w:t>
      </w:r>
      <w:r w:rsidR="00BB0B60">
        <w:t xml:space="preserve">EPP </w:t>
      </w:r>
      <w:r w:rsidR="0033450C">
        <w:t xml:space="preserve">should be reported on </w:t>
      </w:r>
      <w:r w:rsidR="00BB0B60">
        <w:t>at regular intervals. Ideally this would be semi-annually but annual reporting is acceptable. Applicants should describe how they plan to report on progress against the engagement activities in the draft EPP in the overview section. Reporting can occur through pre-existing mechanisms, for example through a Reconciliation Action Plan or annual report, or published on the applicant’s website, however, EPP reporting must be specific to the Manufacturing Collaboration Stream project. Applicants can also choose to report directly</w:t>
      </w:r>
      <w:r>
        <w:t xml:space="preserve"> to the Department of Industry, Science, Energy and Resources</w:t>
      </w:r>
      <w:r w:rsidR="00BB0B60">
        <w:t xml:space="preserve">. </w:t>
      </w:r>
    </w:p>
    <w:p w14:paraId="54F37222" w14:textId="77777777" w:rsidR="000D1DC6" w:rsidRPr="000D1DC6" w:rsidRDefault="000D1DC6" w:rsidP="003B3078">
      <w:pPr>
        <w:pStyle w:val="Heading2"/>
        <w:rPr>
          <w:color w:val="6D6F72" w:themeColor="accent1" w:themeShade="BF"/>
          <w:sz w:val="26"/>
          <w:szCs w:val="26"/>
        </w:rPr>
      </w:pPr>
      <w:r w:rsidRPr="00230762">
        <w:rPr>
          <w:rFonts w:asciiTheme="minorHAnsi" w:hAnsiTheme="minorHAnsi" w:cstheme="minorHAnsi"/>
        </w:rPr>
        <w:lastRenderedPageBreak/>
        <w:t>Useful links and Resources:</w:t>
      </w:r>
    </w:p>
    <w:tbl>
      <w:tblPr>
        <w:tblStyle w:val="GridTable5Dark-Accent2"/>
        <w:tblW w:w="9016" w:type="dxa"/>
        <w:tblLayout w:type="fixed"/>
        <w:tblCellMar>
          <w:left w:w="227" w:type="dxa"/>
          <w:right w:w="142" w:type="dxa"/>
        </w:tblCellMar>
        <w:tblLook w:val="0480" w:firstRow="0" w:lastRow="0" w:firstColumn="1" w:lastColumn="0" w:noHBand="0" w:noVBand="1"/>
      </w:tblPr>
      <w:tblGrid>
        <w:gridCol w:w="2830"/>
        <w:gridCol w:w="6186"/>
      </w:tblGrid>
      <w:tr w:rsidR="00C253A9" w:rsidRPr="00C253A9" w14:paraId="77E9CC18" w14:textId="1E6C135C" w:rsidTr="00115BF9">
        <w:trPr>
          <w:cnfStyle w:val="000000100000" w:firstRow="0" w:lastRow="0" w:firstColumn="0" w:lastColumn="0" w:oddVBand="0" w:evenVBand="0" w:oddHBand="1" w:evenHBand="0" w:firstRowFirstColumn="0" w:firstRowLastColumn="0" w:lastRowFirstColumn="0" w:lastRowLastColumn="0"/>
          <w:trHeight w:val="10035"/>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2F3A3971" w14:textId="45B4DEEE" w:rsidR="00C253A9" w:rsidRDefault="00C253A9" w:rsidP="00254609">
            <w:pPr>
              <w:pStyle w:val="BodyText"/>
              <w:rPr>
                <w:rFonts w:asciiTheme="majorHAnsi" w:eastAsiaTheme="majorEastAsia" w:hAnsiTheme="majorHAnsi" w:cstheme="majorBidi"/>
                <w:color w:val="6D6F72" w:themeColor="accent1" w:themeShade="BF"/>
                <w:sz w:val="26"/>
                <w:szCs w:val="26"/>
              </w:rPr>
            </w:pPr>
            <w:r w:rsidRPr="00C253A9">
              <w:rPr>
                <w:color w:val="00283E" w:themeColor="accent2"/>
                <w:sz w:val="24"/>
                <w:szCs w:val="24"/>
              </w:rPr>
              <w:t xml:space="preserve">Finding Traditional Owners and other </w:t>
            </w:r>
            <w:r w:rsidR="00103B0B" w:rsidRPr="00103B0B">
              <w:rPr>
                <w:color w:val="00283E" w:themeColor="accent2"/>
                <w:sz w:val="24"/>
                <w:szCs w:val="24"/>
              </w:rPr>
              <w:t>Aboriginal and Torres Strait Islander</w:t>
            </w:r>
            <w:r w:rsidRPr="00C253A9">
              <w:rPr>
                <w:color w:val="00283E" w:themeColor="accent2"/>
                <w:sz w:val="24"/>
                <w:szCs w:val="24"/>
              </w:rPr>
              <w:t xml:space="preserve"> people with interests</w:t>
            </w:r>
          </w:p>
        </w:tc>
        <w:tc>
          <w:tcPr>
            <w:tcW w:w="6186" w:type="dxa"/>
            <w:tcBorders>
              <w:left w:val="single" w:sz="24" w:space="0" w:color="00283E" w:themeColor="accent2"/>
            </w:tcBorders>
            <w:shd w:val="clear" w:color="auto" w:fill="auto"/>
          </w:tcPr>
          <w:p w14:paraId="4063E8D0" w14:textId="4867FD0E" w:rsidR="00C253A9" w:rsidRPr="00AD7C02" w:rsidRDefault="00C253A9" w:rsidP="00C253A9">
            <w:pPr>
              <w:contextualSpacing/>
              <w:cnfStyle w:val="000000100000" w:firstRow="0" w:lastRow="0" w:firstColumn="0" w:lastColumn="0" w:oddVBand="0" w:evenVBand="0" w:oddHBand="1" w:evenHBand="0" w:firstRowFirstColumn="0" w:firstRowLastColumn="0" w:lastRowFirstColumn="0" w:lastRowLastColumn="0"/>
              <w:rPr>
                <w:b/>
                <w:color w:val="0070AE" w:themeColor="hyperlink"/>
                <w:u w:val="single"/>
              </w:rPr>
            </w:pPr>
            <w:r w:rsidRPr="00AD7C02">
              <w:rPr>
                <w:b/>
              </w:rPr>
              <w:t>Registered Native Title determinations</w:t>
            </w:r>
          </w:p>
          <w:p w14:paraId="4579EF72" w14:textId="61F1EAAF" w:rsidR="00C253A9" w:rsidRPr="006E536D" w:rsidRDefault="00C253A9" w:rsidP="00AD7C02">
            <w:pPr>
              <w:cnfStyle w:val="000000100000" w:firstRow="0" w:lastRow="0" w:firstColumn="0" w:lastColumn="0" w:oddVBand="0" w:evenVBand="0" w:oddHBand="1" w:evenHBand="0" w:firstRowFirstColumn="0" w:firstRowLastColumn="0" w:lastRowFirstColumn="0" w:lastRowLastColumn="0"/>
              <w:rPr>
                <w:rFonts w:cstheme="minorHAnsi"/>
                <w:color w:val="auto"/>
              </w:rPr>
            </w:pPr>
            <w:r>
              <w:rPr>
                <w:color w:val="auto"/>
              </w:rPr>
              <w:t xml:space="preserve">For a starting </w:t>
            </w:r>
            <w:r w:rsidRPr="00C253A9">
              <w:rPr>
                <w:color w:val="auto"/>
              </w:rPr>
              <w:t xml:space="preserve">point </w:t>
            </w:r>
            <w:r>
              <w:rPr>
                <w:color w:val="auto"/>
              </w:rPr>
              <w:t>before</w:t>
            </w:r>
            <w:r w:rsidRPr="00C253A9">
              <w:rPr>
                <w:color w:val="auto"/>
              </w:rPr>
              <w:t xml:space="preserve"> search</w:t>
            </w:r>
            <w:r>
              <w:rPr>
                <w:color w:val="auto"/>
              </w:rPr>
              <w:t>ing</w:t>
            </w:r>
            <w:r w:rsidRPr="00C253A9">
              <w:rPr>
                <w:color w:val="auto"/>
              </w:rPr>
              <w:t xml:space="preserve"> the register</w:t>
            </w:r>
            <w:r>
              <w:rPr>
                <w:color w:val="auto"/>
              </w:rPr>
              <w:t xml:space="preserve"> </w:t>
            </w:r>
            <w:r w:rsidR="00AD7C02">
              <w:rPr>
                <w:color w:val="auto"/>
              </w:rPr>
              <w:t xml:space="preserve">view a map at: </w:t>
            </w:r>
            <w:hyperlink r:id="rId11" w:history="1">
              <w:r w:rsidRPr="006E536D">
                <w:rPr>
                  <w:rFonts w:cstheme="minorHAnsi"/>
                  <w:color w:val="0070AE" w:themeColor="hyperlink"/>
                  <w:u w:val="single"/>
                </w:rPr>
                <w:t>https://data-nntt.opendata.arcgis.com/datasets/2698667a86e54550b732174a71c3bc57_8/explore?location=-16.134805%2C146.196334%2C5.83</w:t>
              </w:r>
            </w:hyperlink>
            <w:r w:rsidRPr="006E536D">
              <w:rPr>
                <w:rFonts w:cstheme="minorHAnsi"/>
                <w:color w:val="auto"/>
              </w:rPr>
              <w:t xml:space="preserve"> </w:t>
            </w:r>
          </w:p>
          <w:p w14:paraId="71E3D2CF" w14:textId="4A9DA55D" w:rsidR="00C253A9" w:rsidRPr="006E536D" w:rsidRDefault="00AD7C02" w:rsidP="00AD7C02">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C253A9">
              <w:rPr>
                <w:color w:val="auto"/>
              </w:rPr>
              <w:t>National</w:t>
            </w:r>
            <w:r w:rsidRPr="006E536D">
              <w:rPr>
                <w:rFonts w:cstheme="minorHAnsi"/>
                <w:color w:val="auto"/>
              </w:rPr>
              <w:t xml:space="preserve"> Native </w:t>
            </w:r>
            <w:r w:rsidRPr="00AD7C02">
              <w:rPr>
                <w:color w:val="auto"/>
              </w:rPr>
              <w:t>Title Tribunal maintains a register of Native Title determinations, visit:</w:t>
            </w:r>
            <w:r w:rsidRPr="006E536D">
              <w:rPr>
                <w:rFonts w:cstheme="minorHAnsi"/>
                <w:color w:val="auto"/>
              </w:rPr>
              <w:t xml:space="preserve"> </w:t>
            </w:r>
            <w:hyperlink r:id="rId12" w:history="1">
              <w:r w:rsidRPr="006E536D">
                <w:rPr>
                  <w:rFonts w:cstheme="minorHAnsi"/>
                  <w:color w:val="0070AE" w:themeColor="hyperlink"/>
                  <w:u w:val="single"/>
                </w:rPr>
                <w:t>http://www.nntt.gov.au/searchRegApps/NativeTitleRegisters/Pages/Search-Register-of-Native-Title-Claims.aspx</w:t>
              </w:r>
            </w:hyperlink>
          </w:p>
          <w:p w14:paraId="6C0231C7" w14:textId="3A85D8F9" w:rsidR="006E536D" w:rsidRPr="006E536D" w:rsidRDefault="006E536D" w:rsidP="006E536D">
            <w:pPr>
              <w:contextualSpacing/>
              <w:cnfStyle w:val="000000100000" w:firstRow="0" w:lastRow="0" w:firstColumn="0" w:lastColumn="0" w:oddVBand="0" w:evenVBand="0" w:oddHBand="1" w:evenHBand="0" w:firstRowFirstColumn="0" w:firstRowLastColumn="0" w:lastRowFirstColumn="0" w:lastRowLastColumn="0"/>
              <w:rPr>
                <w:rFonts w:cstheme="minorHAnsi"/>
                <w:color w:val="auto"/>
              </w:rPr>
            </w:pPr>
            <w:r w:rsidRPr="006E536D">
              <w:rPr>
                <w:rFonts w:cstheme="minorHAnsi"/>
                <w:color w:val="auto"/>
              </w:rPr>
              <w:t xml:space="preserve">Other </w:t>
            </w:r>
            <w:r w:rsidRPr="00C253A9">
              <w:rPr>
                <w:rFonts w:cstheme="minorHAnsi"/>
                <w:color w:val="auto"/>
              </w:rPr>
              <w:t>Agreements, Treati</w:t>
            </w:r>
            <w:r w:rsidRPr="006E536D">
              <w:rPr>
                <w:rFonts w:cstheme="minorHAnsi"/>
                <w:color w:val="auto"/>
              </w:rPr>
              <w:t>es and Negotiated Settlements</w:t>
            </w:r>
            <w:r w:rsidRPr="006E536D">
              <w:rPr>
                <w:rFonts w:cstheme="minorHAnsi"/>
              </w:rPr>
              <w:t xml:space="preserve"> can be found at </w:t>
            </w:r>
            <w:hyperlink r:id="rId13" w:history="1">
              <w:r w:rsidRPr="006E536D">
                <w:rPr>
                  <w:rFonts w:cstheme="minorHAnsi"/>
                  <w:color w:val="0070AE" w:themeColor="hyperlink"/>
                  <w:u w:val="single"/>
                </w:rPr>
                <w:t>https://www.atns.net.au/native-title-agreements</w:t>
              </w:r>
            </w:hyperlink>
            <w:r>
              <w:rPr>
                <w:rFonts w:cstheme="minorHAnsi"/>
              </w:rPr>
              <w:t>.</w:t>
            </w:r>
          </w:p>
          <w:p w14:paraId="39EACB91" w14:textId="77777777" w:rsidR="00AD7C02" w:rsidRPr="00AD7C02" w:rsidRDefault="00AD7C02" w:rsidP="00AD7C02">
            <w:pPr>
              <w:cnfStyle w:val="000000100000" w:firstRow="0" w:lastRow="0" w:firstColumn="0" w:lastColumn="0" w:oddVBand="0" w:evenVBand="0" w:oddHBand="1" w:evenHBand="0" w:firstRowFirstColumn="0" w:firstRowLastColumn="0" w:lastRowFirstColumn="0" w:lastRowLastColumn="0"/>
              <w:rPr>
                <w:color w:val="0070AE" w:themeColor="hyperlink"/>
                <w:u w:val="single"/>
              </w:rPr>
            </w:pPr>
          </w:p>
          <w:p w14:paraId="6A9E67E7" w14:textId="77777777" w:rsidR="00AD7C02" w:rsidRPr="00121CCE" w:rsidRDefault="00AD7C02" w:rsidP="00AD7C02">
            <w:pPr>
              <w:contextualSpacing/>
              <w:cnfStyle w:val="000000100000" w:firstRow="0" w:lastRow="0" w:firstColumn="0" w:lastColumn="0" w:oddVBand="0" w:evenVBand="0" w:oddHBand="1" w:evenHBand="0" w:firstRowFirstColumn="0" w:firstRowLastColumn="0" w:lastRowFirstColumn="0" w:lastRowLastColumn="0"/>
              <w:rPr>
                <w:b/>
                <w:bCs/>
                <w:color w:val="0070AE" w:themeColor="hyperlink"/>
              </w:rPr>
            </w:pPr>
            <w:r w:rsidRPr="00C253A9">
              <w:rPr>
                <w:b/>
                <w:color w:val="auto"/>
              </w:rPr>
              <w:t xml:space="preserve">Land Councils </w:t>
            </w:r>
            <w:r w:rsidRPr="00C253A9">
              <w:rPr>
                <w:b/>
                <w:color w:val="0070AE" w:themeColor="hyperlink"/>
              </w:rPr>
              <w:t xml:space="preserve"> </w:t>
            </w:r>
          </w:p>
          <w:p w14:paraId="5A04FD21" w14:textId="77777777" w:rsidR="00AD7C02" w:rsidRDefault="00AD7C02" w:rsidP="00AD7C02">
            <w:pPr>
              <w:contextualSpacing/>
              <w:cnfStyle w:val="000000100000" w:firstRow="0" w:lastRow="0" w:firstColumn="0" w:lastColumn="0" w:oddVBand="0" w:evenVBand="0" w:oddHBand="1" w:evenHBand="0" w:firstRowFirstColumn="0" w:firstRowLastColumn="0" w:lastRowFirstColumn="0" w:lastRowLastColumn="0"/>
              <w:rPr>
                <w:color w:val="auto"/>
              </w:rPr>
            </w:pPr>
            <w:r w:rsidRPr="00121CCE">
              <w:rPr>
                <w:color w:val="auto"/>
              </w:rPr>
              <w:t xml:space="preserve">Find a map of land councils </w:t>
            </w:r>
            <w:r>
              <w:rPr>
                <w:color w:val="auto"/>
              </w:rPr>
              <w:t>at</w:t>
            </w:r>
            <w:r w:rsidRPr="00121CCE">
              <w:rPr>
                <w:color w:val="auto"/>
              </w:rPr>
              <w:t xml:space="preserve"> </w:t>
            </w:r>
            <w:hyperlink r:id="rId14" w:history="1">
              <w:r w:rsidRPr="00C253A9">
                <w:rPr>
                  <w:color w:val="0070AE" w:themeColor="hyperlink"/>
                  <w:u w:val="single"/>
                </w:rPr>
                <w:t>http://www.nntt.gov.au/Maps/RATSIB_map.pdf</w:t>
              </w:r>
            </w:hyperlink>
            <w:r>
              <w:rPr>
                <w:color w:val="0070AE" w:themeColor="hyperlink"/>
              </w:rPr>
              <w:t xml:space="preserve">. </w:t>
            </w:r>
          </w:p>
          <w:p w14:paraId="0C6FD0A1" w14:textId="6C131779" w:rsidR="00AD7C02" w:rsidRDefault="00AD7C02" w:rsidP="00AD7C02">
            <w:pPr>
              <w:contextualSpacing/>
              <w:cnfStyle w:val="000000100000" w:firstRow="0" w:lastRow="0" w:firstColumn="0" w:lastColumn="0" w:oddVBand="0" w:evenVBand="0" w:oddHBand="1" w:evenHBand="0" w:firstRowFirstColumn="0" w:firstRowLastColumn="0" w:lastRowFirstColumn="0" w:lastRowLastColumn="0"/>
              <w:rPr>
                <w:color w:val="0070AE" w:themeColor="hyperlink"/>
                <w:u w:val="single"/>
              </w:rPr>
            </w:pPr>
            <w:r>
              <w:rPr>
                <w:color w:val="auto"/>
              </w:rPr>
              <w:t xml:space="preserve">A list can be found on NIAA’s website: </w:t>
            </w:r>
            <w:hyperlink r:id="rId15" w:history="1">
              <w:r w:rsidRPr="00C253A9">
                <w:rPr>
                  <w:color w:val="0070AE" w:themeColor="hyperlink"/>
                  <w:u w:val="single"/>
                </w:rPr>
                <w:t>https://www.niaa.gov.au/indigenous-affairs/land-and-housing/native-title-representative-bodies-and-service-providers</w:t>
              </w:r>
            </w:hyperlink>
            <w:r>
              <w:rPr>
                <w:color w:val="0070AE" w:themeColor="hyperlink"/>
                <w:u w:val="single"/>
              </w:rPr>
              <w:t>;</w:t>
            </w:r>
          </w:p>
          <w:p w14:paraId="692142E6" w14:textId="77777777" w:rsidR="002F54C5" w:rsidRDefault="002F54C5" w:rsidP="00C253A9">
            <w:pPr>
              <w:contextualSpacing/>
              <w:cnfStyle w:val="000000100000" w:firstRow="0" w:lastRow="0" w:firstColumn="0" w:lastColumn="0" w:oddVBand="0" w:evenVBand="0" w:oddHBand="1" w:evenHBand="0" w:firstRowFirstColumn="0" w:firstRowLastColumn="0" w:lastRowFirstColumn="0" w:lastRowLastColumn="0"/>
              <w:rPr>
                <w:b/>
                <w:color w:val="auto"/>
              </w:rPr>
            </w:pPr>
          </w:p>
          <w:p w14:paraId="616B00C6" w14:textId="77777777" w:rsidR="00C253A9" w:rsidRPr="00121CCE" w:rsidRDefault="00C253A9" w:rsidP="00C253A9">
            <w:pPr>
              <w:contextualSpacing/>
              <w:cnfStyle w:val="000000100000" w:firstRow="0" w:lastRow="0" w:firstColumn="0" w:lastColumn="0" w:oddVBand="0" w:evenVBand="0" w:oddHBand="1" w:evenHBand="0" w:firstRowFirstColumn="0" w:firstRowLastColumn="0" w:lastRowFirstColumn="0" w:lastRowLastColumn="0"/>
              <w:rPr>
                <w:b/>
              </w:rPr>
            </w:pPr>
            <w:r w:rsidRPr="00C253A9">
              <w:rPr>
                <w:b/>
                <w:color w:val="auto"/>
              </w:rPr>
              <w:t>Registered</w:t>
            </w:r>
            <w:r w:rsidRPr="00C253A9">
              <w:rPr>
                <w:b/>
              </w:rPr>
              <w:t xml:space="preserve"> </w:t>
            </w:r>
            <w:r w:rsidRPr="00121CCE">
              <w:rPr>
                <w:b/>
              </w:rPr>
              <w:t xml:space="preserve">native title bodies corporate </w:t>
            </w:r>
          </w:p>
          <w:p w14:paraId="4C1B4CB4" w14:textId="04650041" w:rsidR="00C253A9" w:rsidRDefault="00121CCE" w:rsidP="00121CCE">
            <w:pPr>
              <w:cnfStyle w:val="000000100000" w:firstRow="0" w:lastRow="0" w:firstColumn="0" w:lastColumn="0" w:oddVBand="0" w:evenVBand="0" w:oddHBand="1" w:evenHBand="0" w:firstRowFirstColumn="0" w:firstRowLastColumn="0" w:lastRowFirstColumn="0" w:lastRowLastColumn="0"/>
              <w:rPr>
                <w:color w:val="0070AE" w:themeColor="hyperlink"/>
                <w:u w:val="single"/>
              </w:rPr>
            </w:pPr>
            <w:r>
              <w:t xml:space="preserve">Registered native title bodies corporate </w:t>
            </w:r>
            <w:r w:rsidR="00AD7C02">
              <w:t xml:space="preserve">(RNTBCs) </w:t>
            </w:r>
            <w:r>
              <w:t xml:space="preserve">can be viewed on an interactive map: </w:t>
            </w:r>
            <w:hyperlink r:id="rId16" w:history="1">
              <w:r w:rsidR="00C253A9" w:rsidRPr="00C253A9">
                <w:rPr>
                  <w:color w:val="0070AE" w:themeColor="hyperlink"/>
                  <w:u w:val="single"/>
                </w:rPr>
                <w:t>https://data-nntt.opendata.arcgis.com/datasets/2698667a86e54550b732174a71c3bc57_0/explore?location=-31.427957%2C119.555220%2C4.38</w:t>
              </w:r>
            </w:hyperlink>
            <w:r w:rsidR="00C253A9" w:rsidRPr="00121CCE">
              <w:rPr>
                <w:color w:val="0070AE" w:themeColor="hyperlink"/>
              </w:rPr>
              <w:t xml:space="preserve"> </w:t>
            </w:r>
            <w:r w:rsidRPr="00121CCE">
              <w:rPr>
                <w:color w:val="auto"/>
              </w:rPr>
              <w:t xml:space="preserve">bodies corporate are </w:t>
            </w:r>
            <w:r>
              <w:rPr>
                <w:color w:val="auto"/>
              </w:rPr>
              <w:t xml:space="preserve">also </w:t>
            </w:r>
            <w:r w:rsidRPr="00121CCE">
              <w:rPr>
                <w:color w:val="auto"/>
              </w:rPr>
              <w:t xml:space="preserve">searchable at </w:t>
            </w:r>
            <w:hyperlink r:id="rId17" w:history="1">
              <w:r w:rsidR="00AD7C02" w:rsidRPr="009A68E6">
                <w:rPr>
                  <w:rStyle w:val="Hyperlink"/>
                </w:rPr>
                <w:t>https://www.oric.gov.au/</w:t>
              </w:r>
            </w:hyperlink>
            <w:r>
              <w:rPr>
                <w:color w:val="0070AE" w:themeColor="hyperlink"/>
                <w:u w:val="single"/>
              </w:rPr>
              <w:t>.</w:t>
            </w:r>
          </w:p>
          <w:p w14:paraId="442C182A" w14:textId="7DD1327D" w:rsidR="00AD7C02" w:rsidRPr="00C253A9" w:rsidRDefault="00AD7C02" w:rsidP="00121CCE">
            <w:pPr>
              <w:cnfStyle w:val="000000100000" w:firstRow="0" w:lastRow="0" w:firstColumn="0" w:lastColumn="0" w:oddVBand="0" w:evenVBand="0" w:oddHBand="1" w:evenHBand="0" w:firstRowFirstColumn="0" w:firstRowLastColumn="0" w:lastRowFirstColumn="0" w:lastRowLastColumn="0"/>
              <w:rPr>
                <w:b/>
                <w:bCs/>
                <w:color w:val="0070AE" w:themeColor="hyperlink"/>
                <w:u w:val="single"/>
              </w:rPr>
            </w:pPr>
          </w:p>
          <w:p w14:paraId="19A4A6BA" w14:textId="77777777" w:rsidR="00C253A9" w:rsidRPr="00121CCE" w:rsidRDefault="00C253A9" w:rsidP="00C253A9">
            <w:pPr>
              <w:contextualSpacing/>
              <w:cnfStyle w:val="000000100000" w:firstRow="0" w:lastRow="0" w:firstColumn="0" w:lastColumn="0" w:oddVBand="0" w:evenVBand="0" w:oddHBand="1" w:evenHBand="0" w:firstRowFirstColumn="0" w:firstRowLastColumn="0" w:lastRowFirstColumn="0" w:lastRowLastColumn="0"/>
              <w:rPr>
                <w:b/>
                <w:color w:val="auto"/>
              </w:rPr>
            </w:pPr>
            <w:r w:rsidRPr="00C253A9">
              <w:rPr>
                <w:b/>
                <w:color w:val="auto"/>
              </w:rPr>
              <w:t>Prescribed Bodies Corporate</w:t>
            </w:r>
          </w:p>
          <w:p w14:paraId="78D50DBD" w14:textId="5EE83C87" w:rsidR="00121CCE" w:rsidRDefault="00121CCE" w:rsidP="00121CCE">
            <w:pPr>
              <w:cnfStyle w:val="000000100000" w:firstRow="0" w:lastRow="0" w:firstColumn="0" w:lastColumn="0" w:oddVBand="0" w:evenVBand="0" w:oddHBand="1" w:evenHBand="0" w:firstRowFirstColumn="0" w:firstRowLastColumn="0" w:lastRowFirstColumn="0" w:lastRowLastColumn="0"/>
            </w:pPr>
            <w:r>
              <w:t xml:space="preserve">Office of the registrar of Indigenous Corporations </w:t>
            </w:r>
            <w:r w:rsidRPr="00121CCE">
              <w:t>administers the Corporations (Aboriginal and Torres Strait Islander) Act 2006</w:t>
            </w:r>
            <w:r>
              <w:t xml:space="preserve"> visit </w:t>
            </w:r>
            <w:hyperlink r:id="rId18" w:history="1">
              <w:r w:rsidRPr="006E536D">
                <w:rPr>
                  <w:rStyle w:val="Hyperlink"/>
                  <w:rFonts w:cstheme="minorHAnsi"/>
                </w:rPr>
                <w:t>https://www.oric.gov.au/</w:t>
              </w:r>
            </w:hyperlink>
            <w:r w:rsidRPr="006E536D">
              <w:rPr>
                <w:rFonts w:cstheme="minorHAnsi"/>
              </w:rPr>
              <w:t>.</w:t>
            </w:r>
            <w:r>
              <w:t xml:space="preserve"> Search by location, postcode or other description to find </w:t>
            </w:r>
            <w:r w:rsidRPr="00121CCE">
              <w:t>Prescribed Bodies Corporate</w:t>
            </w:r>
            <w:r>
              <w:t xml:space="preserve"> </w:t>
            </w:r>
            <w:r w:rsidR="00AD7C02">
              <w:t>(PBCs</w:t>
            </w:r>
            <w:r>
              <w:t>)</w:t>
            </w:r>
            <w:r w:rsidR="00AD7C02">
              <w:t>, RNTBCs</w:t>
            </w:r>
            <w:r>
              <w:t xml:space="preserve"> or other </w:t>
            </w:r>
            <w:r w:rsidRPr="00121CCE">
              <w:t>relevant contacts for</w:t>
            </w:r>
            <w:r>
              <w:t xml:space="preserve"> identifying and engaging with o</w:t>
            </w:r>
            <w:r w:rsidRPr="00121CCE">
              <w:t xml:space="preserve">ther </w:t>
            </w:r>
            <w:r w:rsidR="00103B0B" w:rsidRPr="00103B0B">
              <w:t>Aboriginal and Torres Strait Islander</w:t>
            </w:r>
            <w:r w:rsidRPr="00121CCE">
              <w:t xml:space="preserve"> interests</w:t>
            </w:r>
            <w:r>
              <w:t xml:space="preserve">. For a map of PBCs visit </w:t>
            </w:r>
            <w:hyperlink r:id="rId19" w:history="1">
              <w:r w:rsidRPr="009A68E6">
                <w:rPr>
                  <w:rStyle w:val="Hyperlink"/>
                </w:rPr>
                <w:t>http://www.nntt.gov.au/Maps/Determinations_and_PBCs_map.pdf</w:t>
              </w:r>
            </w:hyperlink>
            <w:r>
              <w:t xml:space="preserve"> or a list is available at </w:t>
            </w:r>
            <w:hyperlink r:id="rId20" w:history="1">
              <w:r w:rsidRPr="009A68E6">
                <w:rPr>
                  <w:rStyle w:val="Hyperlink"/>
                </w:rPr>
                <w:t>https://nativetitle.org.au/find/pbc</w:t>
              </w:r>
            </w:hyperlink>
            <w:r>
              <w:t xml:space="preserve">. </w:t>
            </w:r>
          </w:p>
          <w:p w14:paraId="0E4E42A9" w14:textId="77777777" w:rsidR="00AD7C02" w:rsidRDefault="00AD7C02" w:rsidP="00121CCE">
            <w:pPr>
              <w:cnfStyle w:val="000000100000" w:firstRow="0" w:lastRow="0" w:firstColumn="0" w:lastColumn="0" w:oddVBand="0" w:evenVBand="0" w:oddHBand="1" w:evenHBand="0" w:firstRowFirstColumn="0" w:firstRowLastColumn="0" w:lastRowFirstColumn="0" w:lastRowLastColumn="0"/>
            </w:pPr>
          </w:p>
          <w:p w14:paraId="5B3EE5CF" w14:textId="5A5B78AC" w:rsidR="00AD7C02" w:rsidRPr="00AD7C02" w:rsidRDefault="00AD7C02" w:rsidP="00121CCE">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More Information</w:t>
            </w:r>
          </w:p>
          <w:p w14:paraId="67BA7A11" w14:textId="5D50CA26" w:rsidR="00C253A9" w:rsidRPr="00115BF9" w:rsidRDefault="00AD7C02" w:rsidP="00115BF9">
            <w:pPr>
              <w:contextualSpacing/>
              <w:cnfStyle w:val="000000100000" w:firstRow="0" w:lastRow="0" w:firstColumn="0" w:lastColumn="0" w:oddVBand="0" w:evenVBand="0" w:oddHBand="1" w:evenHBand="0" w:firstRowFirstColumn="0" w:firstRowLastColumn="0" w:lastRowFirstColumn="0" w:lastRowLastColumn="0"/>
              <w:rPr>
                <w:rFonts w:cstheme="minorHAnsi"/>
                <w:color w:val="0070AE" w:themeColor="hyperlink"/>
                <w:u w:val="single"/>
              </w:rPr>
            </w:pPr>
            <w:r>
              <w:t xml:space="preserve">Contact the Regional Network of </w:t>
            </w:r>
            <w:r w:rsidRPr="00C253A9">
              <w:t>National Indigenous Australians Age</w:t>
            </w:r>
            <w:r>
              <w:t xml:space="preserve">ncy (NIAA): </w:t>
            </w:r>
            <w:hyperlink r:id="rId21" w:history="1">
              <w:r w:rsidRPr="00AD7C02">
                <w:rPr>
                  <w:color w:val="0070AE" w:themeColor="hyperlink"/>
                  <w:u w:val="single"/>
                </w:rPr>
                <w:t>https://www.niaa.gov.au/contact-us/regional-network-addresses</w:t>
              </w:r>
            </w:hyperlink>
          </w:p>
        </w:tc>
      </w:tr>
      <w:tr w:rsidR="00C253A9" w:rsidRPr="00C253A9" w14:paraId="438B6CBD" w14:textId="77777777" w:rsidTr="00115BF9">
        <w:trPr>
          <w:trHeight w:val="964"/>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44EB4454" w14:textId="2EE5F453" w:rsidR="00C253A9" w:rsidRPr="00C253A9" w:rsidRDefault="00C253A9" w:rsidP="00254609">
            <w:pPr>
              <w:pStyle w:val="BodyText"/>
              <w:rPr>
                <w:color w:val="00283E" w:themeColor="accent2"/>
                <w:sz w:val="24"/>
                <w:szCs w:val="24"/>
              </w:rPr>
            </w:pPr>
            <w:r>
              <w:rPr>
                <w:color w:val="00283E" w:themeColor="accent2"/>
                <w:sz w:val="24"/>
                <w:szCs w:val="24"/>
              </w:rPr>
              <w:t xml:space="preserve">Find out more about </w:t>
            </w:r>
            <w:r w:rsidRPr="00C253A9">
              <w:rPr>
                <w:color w:val="00283E" w:themeColor="accent2"/>
                <w:sz w:val="24"/>
                <w:szCs w:val="24"/>
              </w:rPr>
              <w:t>Reconciliation Action Plans</w:t>
            </w:r>
          </w:p>
        </w:tc>
        <w:tc>
          <w:tcPr>
            <w:tcW w:w="6186" w:type="dxa"/>
            <w:tcBorders>
              <w:left w:val="single" w:sz="24" w:space="0" w:color="00283E" w:themeColor="accent2"/>
            </w:tcBorders>
            <w:shd w:val="clear" w:color="auto" w:fill="auto"/>
          </w:tcPr>
          <w:p w14:paraId="10A92209" w14:textId="2BB31D25" w:rsidR="00C253A9" w:rsidRPr="00C253A9" w:rsidRDefault="007F2EF2" w:rsidP="007F2EF2">
            <w:pPr>
              <w:contextualSpacing/>
              <w:cnfStyle w:val="000000000000" w:firstRow="0" w:lastRow="0" w:firstColumn="0" w:lastColumn="0" w:oddVBand="0" w:evenVBand="0" w:oddHBand="0" w:evenHBand="0" w:firstRowFirstColumn="0" w:firstRowLastColumn="0" w:lastRowFirstColumn="0" w:lastRowLastColumn="0"/>
            </w:pPr>
            <w:r>
              <w:rPr>
                <w:bCs/>
              </w:rPr>
              <w:t xml:space="preserve">For information and support in developing a Reconciliation Action Plan (RAP) visit </w:t>
            </w:r>
            <w:hyperlink r:id="rId22" w:history="1">
              <w:r w:rsidR="00382D8C" w:rsidRPr="009A68E6">
                <w:rPr>
                  <w:rStyle w:val="Hyperlink"/>
                  <w:bCs/>
                </w:rPr>
                <w:t>https://www.reconciliation.org.au/reconciliation-action-plans/</w:t>
              </w:r>
            </w:hyperlink>
            <w:r>
              <w:rPr>
                <w:bCs/>
              </w:rPr>
              <w:t>.</w:t>
            </w:r>
          </w:p>
        </w:tc>
      </w:tr>
      <w:tr w:rsidR="00C253A9" w:rsidRPr="00C253A9" w14:paraId="6AC5B8D5" w14:textId="77777777" w:rsidTr="00115BF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6CD9B817" w14:textId="13401198" w:rsidR="00C253A9" w:rsidRPr="00C253A9" w:rsidRDefault="00C253A9" w:rsidP="00254609">
            <w:pPr>
              <w:pStyle w:val="BodyText"/>
              <w:rPr>
                <w:color w:val="262626" w:themeColor="text1" w:themeTint="D9"/>
                <w:sz w:val="24"/>
                <w:szCs w:val="24"/>
              </w:rPr>
            </w:pPr>
            <w:r w:rsidRPr="00C253A9">
              <w:rPr>
                <w:color w:val="00283E" w:themeColor="accent2"/>
                <w:sz w:val="24"/>
                <w:szCs w:val="24"/>
              </w:rPr>
              <w:t xml:space="preserve">Find </w:t>
            </w:r>
            <w:r w:rsidR="00103B0B" w:rsidRPr="00103B0B">
              <w:rPr>
                <w:color w:val="00283E" w:themeColor="accent2"/>
                <w:sz w:val="24"/>
                <w:szCs w:val="24"/>
              </w:rPr>
              <w:t>Aboriginal and Torres Strait Islander</w:t>
            </w:r>
            <w:r w:rsidRPr="00C253A9">
              <w:rPr>
                <w:color w:val="00283E" w:themeColor="accent2"/>
                <w:sz w:val="24"/>
                <w:szCs w:val="24"/>
              </w:rPr>
              <w:t xml:space="preserve"> businesses to supply you goods and services</w:t>
            </w:r>
          </w:p>
        </w:tc>
        <w:tc>
          <w:tcPr>
            <w:tcW w:w="6186" w:type="dxa"/>
            <w:tcBorders>
              <w:left w:val="single" w:sz="24" w:space="0" w:color="00283E" w:themeColor="accent2"/>
            </w:tcBorders>
            <w:shd w:val="clear" w:color="auto" w:fill="auto"/>
          </w:tcPr>
          <w:p w14:paraId="77783A5F" w14:textId="285D8383" w:rsidR="00C253A9" w:rsidRPr="00C253A9" w:rsidRDefault="00C253A9" w:rsidP="00C253A9">
            <w:pPr>
              <w:spacing w:after="120" w:line="264" w:lineRule="auto"/>
              <w:cnfStyle w:val="000000100000" w:firstRow="0" w:lastRow="0" w:firstColumn="0" w:lastColumn="0" w:oddVBand="0" w:evenVBand="0" w:oddHBand="1" w:evenHBand="0" w:firstRowFirstColumn="0" w:firstRowLastColumn="0" w:lastRowFirstColumn="0" w:lastRowLastColumn="0"/>
              <w:rPr>
                <w:b/>
                <w:color w:val="auto"/>
                <w:shd w:val="clear" w:color="auto" w:fill="F8F8F8"/>
              </w:rPr>
            </w:pPr>
            <w:r w:rsidRPr="00C253A9">
              <w:rPr>
                <w:color w:val="auto"/>
                <w:lang w:val="en-US" w:eastAsia="en-AU"/>
              </w:rPr>
              <w:t xml:space="preserve">Supply Nation provides Australia’s leading database of verified </w:t>
            </w:r>
            <w:r w:rsidR="00103B0B" w:rsidRPr="00103B0B">
              <w:rPr>
                <w:color w:val="auto"/>
                <w:lang w:val="en-US" w:eastAsia="en-AU"/>
              </w:rPr>
              <w:t>Aboriginal and Torres Strait Islander</w:t>
            </w:r>
            <w:r w:rsidRPr="00C253A9">
              <w:rPr>
                <w:color w:val="auto"/>
                <w:lang w:val="en-US" w:eastAsia="en-AU"/>
              </w:rPr>
              <w:t xml:space="preserve"> businesses</w:t>
            </w:r>
            <w:r w:rsidRPr="00C253A9">
              <w:rPr>
                <w:b/>
                <w:color w:val="auto"/>
                <w:shd w:val="clear" w:color="auto" w:fill="F8F8F8"/>
              </w:rPr>
              <w:t>.</w:t>
            </w:r>
          </w:p>
          <w:p w14:paraId="5A643DA1" w14:textId="61AA3A84" w:rsidR="00C253A9" w:rsidRPr="00C253A9" w:rsidRDefault="00C253A9" w:rsidP="00C253A9">
            <w:pPr>
              <w:spacing w:after="120" w:line="264" w:lineRule="auto"/>
              <w:cnfStyle w:val="000000100000" w:firstRow="0" w:lastRow="0" w:firstColumn="0" w:lastColumn="0" w:oddVBand="0" w:evenVBand="0" w:oddHBand="1" w:evenHBand="0" w:firstRowFirstColumn="0" w:firstRowLastColumn="0" w:lastRowFirstColumn="0" w:lastRowLastColumn="0"/>
              <w:rPr>
                <w:color w:val="auto"/>
              </w:rPr>
            </w:pPr>
            <w:r w:rsidRPr="00C253A9">
              <w:rPr>
                <w:color w:val="auto"/>
                <w:lang w:val="en-US" w:eastAsia="en-AU"/>
              </w:rPr>
              <w:t xml:space="preserve">As at </w:t>
            </w:r>
            <w:r w:rsidRPr="00AD7C02">
              <w:rPr>
                <w:color w:val="auto"/>
                <w:lang w:val="en-US" w:eastAsia="en-AU"/>
              </w:rPr>
              <w:t>4 May 2021</w:t>
            </w:r>
            <w:r w:rsidRPr="00C253A9">
              <w:rPr>
                <w:color w:val="auto"/>
                <w:lang w:val="en-US" w:eastAsia="en-AU"/>
              </w:rPr>
              <w:t xml:space="preserve"> there are 3,000 </w:t>
            </w:r>
            <w:r w:rsidR="00103B0B" w:rsidRPr="00103B0B">
              <w:rPr>
                <w:color w:val="auto"/>
                <w:lang w:val="en-US" w:eastAsia="en-AU"/>
              </w:rPr>
              <w:t>Aboriginal and Torres Strait Islander</w:t>
            </w:r>
            <w:r w:rsidRPr="00C253A9">
              <w:rPr>
                <w:color w:val="auto"/>
                <w:lang w:val="en-US" w:eastAsia="en-AU"/>
              </w:rPr>
              <w:t xml:space="preserve"> businesses registered on Indigenous Business Direct which your organisation could potentially engage with to achieve its </w:t>
            </w:r>
            <w:r w:rsidR="00103B0B" w:rsidRPr="00103B0B">
              <w:rPr>
                <w:color w:val="auto"/>
                <w:lang w:val="en-US" w:eastAsia="en-AU"/>
              </w:rPr>
              <w:t>Aboriginal and Torres Strait Islander</w:t>
            </w:r>
            <w:r w:rsidRPr="00C253A9">
              <w:rPr>
                <w:color w:val="auto"/>
                <w:lang w:val="en-US" w:eastAsia="en-AU"/>
              </w:rPr>
              <w:t xml:space="preserve"> supply chain targets.</w:t>
            </w:r>
            <w:r w:rsidRPr="00C253A9">
              <w:rPr>
                <w:color w:val="auto"/>
                <w:lang w:val="en-US"/>
              </w:rPr>
              <w:t xml:space="preserve"> </w:t>
            </w:r>
          </w:p>
          <w:p w14:paraId="7389065B" w14:textId="04BAB104" w:rsidR="00C253A9" w:rsidRPr="00115BF9" w:rsidRDefault="00C253A9" w:rsidP="00C253A9">
            <w:pPr>
              <w:spacing w:after="120" w:line="264" w:lineRule="auto"/>
              <w:cnfStyle w:val="000000100000" w:firstRow="0" w:lastRow="0" w:firstColumn="0" w:lastColumn="0" w:oddVBand="0" w:evenVBand="0" w:oddHBand="1" w:evenHBand="0" w:firstRowFirstColumn="0" w:firstRowLastColumn="0" w:lastRowFirstColumn="0" w:lastRowLastColumn="0"/>
              <w:rPr>
                <w:lang w:val="en-US" w:eastAsia="en-AU"/>
              </w:rPr>
            </w:pPr>
            <w:r w:rsidRPr="00C253A9">
              <w:rPr>
                <w:color w:val="auto"/>
                <w:lang w:val="en-US" w:eastAsia="en-AU"/>
              </w:rPr>
              <w:lastRenderedPageBreak/>
              <w:t xml:space="preserve">To search for </w:t>
            </w:r>
            <w:r w:rsidR="00103B0B" w:rsidRPr="00103B0B">
              <w:rPr>
                <w:color w:val="auto"/>
                <w:lang w:val="en-US" w:eastAsia="en-AU"/>
              </w:rPr>
              <w:t>Aboriginal and Torres Strait Islander</w:t>
            </w:r>
            <w:r w:rsidRPr="00C253A9">
              <w:rPr>
                <w:color w:val="auto"/>
                <w:lang w:val="en-US" w:eastAsia="en-AU"/>
              </w:rPr>
              <w:t xml:space="preserve"> businesses by business name, ABN, product, service, location, or category, please visit the Supply Nation website: </w:t>
            </w:r>
            <w:hyperlink r:id="rId23" w:history="1">
              <w:r w:rsidRPr="00AD7C02">
                <w:rPr>
                  <w:rStyle w:val="Hyperlink"/>
                  <w:rFonts w:cstheme="minorHAnsi"/>
                </w:rPr>
                <w:t>https://supplynation.org.au</w:t>
              </w:r>
            </w:hyperlink>
            <w:r w:rsidRPr="00C253A9">
              <w:rPr>
                <w:lang w:val="en-US" w:eastAsia="en-AU"/>
              </w:rPr>
              <w:t>.</w:t>
            </w:r>
          </w:p>
        </w:tc>
      </w:tr>
      <w:tr w:rsidR="00C253A9" w:rsidRPr="00C253A9" w14:paraId="32382E68" w14:textId="77777777" w:rsidTr="00115BF9">
        <w:trPr>
          <w:trHeight w:val="850"/>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43975907" w14:textId="722E2940" w:rsidR="00C253A9" w:rsidRPr="00C253A9" w:rsidRDefault="00C253A9" w:rsidP="00C253A9">
            <w:pPr>
              <w:pStyle w:val="BodyText"/>
              <w:rPr>
                <w:color w:val="00283E" w:themeColor="accent2"/>
                <w:sz w:val="24"/>
                <w:szCs w:val="24"/>
              </w:rPr>
            </w:pPr>
            <w:r w:rsidRPr="00ED36A9">
              <w:rPr>
                <w:color w:val="00283E" w:themeColor="accent2"/>
                <w:sz w:val="24"/>
                <w:szCs w:val="24"/>
                <w:lang w:val="en-US" w:eastAsia="en-AU"/>
              </w:rPr>
              <w:lastRenderedPageBreak/>
              <w:t xml:space="preserve">Advertise jobs at </w:t>
            </w:r>
            <w:r>
              <w:rPr>
                <w:color w:val="00283E" w:themeColor="accent2"/>
                <w:sz w:val="24"/>
                <w:szCs w:val="24"/>
                <w:lang w:val="en-US" w:eastAsia="en-AU"/>
              </w:rPr>
              <w:br/>
            </w:r>
            <w:r w:rsidRPr="00ED36A9">
              <w:rPr>
                <w:color w:val="00283E" w:themeColor="accent2"/>
                <w:sz w:val="24"/>
                <w:szCs w:val="24"/>
                <w:lang w:val="en-US" w:eastAsia="en-AU"/>
              </w:rPr>
              <w:t>no cost to you</w:t>
            </w:r>
          </w:p>
        </w:tc>
        <w:tc>
          <w:tcPr>
            <w:tcW w:w="6186" w:type="dxa"/>
            <w:tcBorders>
              <w:left w:val="single" w:sz="24" w:space="0" w:color="00283E" w:themeColor="accent2"/>
            </w:tcBorders>
            <w:shd w:val="clear" w:color="auto" w:fill="auto"/>
          </w:tcPr>
          <w:p w14:paraId="3C8607C6" w14:textId="516C3F39" w:rsidR="00C253A9" w:rsidRPr="006E536D" w:rsidRDefault="00C253A9" w:rsidP="00AD7C02">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D7C02">
              <w:rPr>
                <w:rFonts w:cstheme="minorHAnsi"/>
                <w:color w:val="auto"/>
              </w:rPr>
              <w:t xml:space="preserve">Looking for an easy and </w:t>
            </w:r>
            <w:r w:rsidRPr="002C55B8">
              <w:rPr>
                <w:rFonts w:cstheme="minorHAnsi"/>
                <w:color w:val="auto"/>
              </w:rPr>
              <w:t>affordable way to advertise your jobs, including jobs identified for I</w:t>
            </w:r>
            <w:r w:rsidR="00103B0B">
              <w:t xml:space="preserve"> </w:t>
            </w:r>
            <w:r w:rsidR="00103B0B" w:rsidRPr="00103B0B">
              <w:rPr>
                <w:rFonts w:cstheme="minorHAnsi"/>
                <w:color w:val="auto"/>
              </w:rPr>
              <w:t>Aboriginal and Torres Strait Islander</w:t>
            </w:r>
            <w:r w:rsidRPr="002C55B8">
              <w:rPr>
                <w:rFonts w:cstheme="minorHAnsi"/>
                <w:color w:val="auto"/>
              </w:rPr>
              <w:t xml:space="preserve"> candidates?</w:t>
            </w:r>
          </w:p>
          <w:p w14:paraId="6F8E0E48" w14:textId="6326A170" w:rsidR="00C253A9" w:rsidRPr="002F54C5" w:rsidRDefault="00C253A9" w:rsidP="002F54C5">
            <w:pPr>
              <w:cnfStyle w:val="000000000000" w:firstRow="0" w:lastRow="0" w:firstColumn="0" w:lastColumn="0" w:oddVBand="0" w:evenVBand="0" w:oddHBand="0" w:evenHBand="0" w:firstRowFirstColumn="0" w:firstRowLastColumn="0" w:lastRowFirstColumn="0" w:lastRowLastColumn="0"/>
              <w:rPr>
                <w:rFonts w:cstheme="minorHAnsi"/>
              </w:rPr>
            </w:pPr>
            <w:r w:rsidRPr="002C55B8">
              <w:rPr>
                <w:rFonts w:cstheme="minorHAnsi"/>
                <w:color w:val="auto"/>
              </w:rPr>
              <w:t>Visit</w:t>
            </w:r>
            <w:r w:rsidRPr="006E536D">
              <w:rPr>
                <w:rFonts w:cstheme="minorHAnsi"/>
                <w:color w:val="auto"/>
              </w:rPr>
              <w:t xml:space="preserve"> </w:t>
            </w:r>
            <w:hyperlink r:id="rId24" w:history="1">
              <w:r w:rsidRPr="002C55B8">
                <w:rPr>
                  <w:rStyle w:val="Hyperlink"/>
                  <w:rFonts w:cstheme="minorHAnsi"/>
                </w:rPr>
                <w:t>jobsearch.gov.au</w:t>
              </w:r>
            </w:hyperlink>
            <w:r w:rsidRPr="002C55B8">
              <w:rPr>
                <w:rFonts w:cstheme="minorHAnsi"/>
              </w:rPr>
              <w:t xml:space="preserve"> </w:t>
            </w:r>
            <w:r w:rsidRPr="002C55B8">
              <w:rPr>
                <w:rFonts w:cstheme="minorHAnsi"/>
                <w:color w:val="auto"/>
              </w:rPr>
              <w:t>to start your recruitment today.</w:t>
            </w:r>
          </w:p>
        </w:tc>
      </w:tr>
      <w:tr w:rsidR="00C253A9" w:rsidRPr="00C253A9" w14:paraId="712F9520" w14:textId="77777777" w:rsidTr="002F54C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00BCB082" w14:textId="496CD0D1" w:rsidR="00C253A9" w:rsidRPr="00ED36A9" w:rsidRDefault="00C253A9" w:rsidP="00C253A9">
            <w:pPr>
              <w:pStyle w:val="BodyText"/>
              <w:rPr>
                <w:color w:val="00283E" w:themeColor="accent2"/>
                <w:sz w:val="24"/>
                <w:szCs w:val="24"/>
                <w:lang w:val="en-US" w:eastAsia="en-AU"/>
              </w:rPr>
            </w:pPr>
            <w:r w:rsidRPr="00ED36A9">
              <w:rPr>
                <w:color w:val="00283E" w:themeColor="accent2"/>
                <w:sz w:val="24"/>
                <w:szCs w:val="24"/>
              </w:rPr>
              <w:t xml:space="preserve">Professional recruitment </w:t>
            </w:r>
            <w:r w:rsidRPr="00ED36A9">
              <w:rPr>
                <w:color w:val="00283E" w:themeColor="accent2"/>
                <w:sz w:val="24"/>
                <w:szCs w:val="24"/>
              </w:rPr>
              <w:br/>
              <w:t>services at no cost</w:t>
            </w:r>
          </w:p>
        </w:tc>
        <w:tc>
          <w:tcPr>
            <w:tcW w:w="6186" w:type="dxa"/>
            <w:tcBorders>
              <w:left w:val="single" w:sz="24" w:space="0" w:color="00283E" w:themeColor="accent2"/>
            </w:tcBorders>
            <w:shd w:val="clear" w:color="auto" w:fill="auto"/>
          </w:tcPr>
          <w:p w14:paraId="7F6A6D1A" w14:textId="77777777" w:rsidR="00C253A9" w:rsidRPr="006E536D" w:rsidRDefault="00C253A9" w:rsidP="00C253A9">
            <w:pPr>
              <w:cnfStyle w:val="000000100000" w:firstRow="0" w:lastRow="0" w:firstColumn="0" w:lastColumn="0" w:oddVBand="0" w:evenVBand="0" w:oddHBand="1" w:evenHBand="0" w:firstRowFirstColumn="0" w:firstRowLastColumn="0" w:lastRowFirstColumn="0" w:lastRowLastColumn="0"/>
              <w:rPr>
                <w:rFonts w:cstheme="minorHAnsi"/>
                <w:color w:val="auto"/>
                <w:lang w:val="en-US" w:eastAsia="en-AU"/>
              </w:rPr>
            </w:pPr>
            <w:r w:rsidRPr="006E536D">
              <w:rPr>
                <w:rFonts w:cstheme="minorHAnsi"/>
                <w:color w:val="auto"/>
                <w:lang w:val="en-US" w:eastAsia="en-AU"/>
              </w:rPr>
              <w:t>The Australian Government’s network of employment services providers can work with you to find the best candidate for your business. They can:</w:t>
            </w:r>
          </w:p>
          <w:p w14:paraId="30E87129" w14:textId="77777777" w:rsidR="00C253A9" w:rsidRPr="002F54C5" w:rsidRDefault="00C253A9" w:rsidP="00C253A9">
            <w:pPr>
              <w:cnfStyle w:val="000000100000" w:firstRow="0" w:lastRow="0" w:firstColumn="0" w:lastColumn="0" w:oddVBand="0" w:evenVBand="0" w:oddHBand="1" w:evenHBand="0" w:firstRowFirstColumn="0" w:firstRowLastColumn="0" w:lastRowFirstColumn="0" w:lastRowLastColumn="0"/>
              <w:rPr>
                <w:rFonts w:cstheme="minorHAnsi"/>
                <w:color w:val="auto"/>
                <w:sz w:val="12"/>
              </w:rPr>
            </w:pPr>
          </w:p>
          <w:p w14:paraId="604A0F54" w14:textId="13A7C836" w:rsidR="00C253A9" w:rsidRPr="006E536D" w:rsidRDefault="00C253A9" w:rsidP="00C253A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color w:val="auto"/>
                <w:lang w:val="en-US" w:eastAsia="en-AU"/>
              </w:rPr>
            </w:pPr>
            <w:r w:rsidRPr="006E536D">
              <w:rPr>
                <w:rFonts w:cstheme="minorHAnsi"/>
                <w:color w:val="auto"/>
                <w:lang w:val="en-US" w:eastAsia="en-AU"/>
              </w:rPr>
              <w:t xml:space="preserve">Screen and recommend candidates based on your job description, including jobs identified for </w:t>
            </w:r>
            <w:r w:rsidR="00103B0B" w:rsidRPr="00103B0B">
              <w:rPr>
                <w:rFonts w:cstheme="minorHAnsi"/>
                <w:color w:val="auto"/>
                <w:lang w:val="en-US" w:eastAsia="en-AU"/>
              </w:rPr>
              <w:t>Aboriginal and Torres Strait Islander</w:t>
            </w:r>
            <w:r w:rsidRPr="006E536D">
              <w:rPr>
                <w:rFonts w:cstheme="minorHAnsi"/>
                <w:color w:val="auto"/>
                <w:lang w:val="en-US" w:eastAsia="en-AU"/>
              </w:rPr>
              <w:t xml:space="preserve"> candidates.</w:t>
            </w:r>
          </w:p>
          <w:p w14:paraId="143AF6C4" w14:textId="77777777" w:rsidR="00C253A9" w:rsidRPr="006E536D" w:rsidRDefault="00C253A9" w:rsidP="00C253A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color w:val="auto"/>
                <w:lang w:val="en-US" w:eastAsia="en-AU"/>
              </w:rPr>
            </w:pPr>
            <w:r w:rsidRPr="006E536D">
              <w:rPr>
                <w:rFonts w:cstheme="minorHAnsi"/>
                <w:color w:val="auto"/>
                <w:lang w:val="en-US" w:eastAsia="en-AU"/>
              </w:rPr>
              <w:t>Arrange for a job seeker to do training specific to the needs of your business.</w:t>
            </w:r>
          </w:p>
          <w:p w14:paraId="35196A3C" w14:textId="77777777" w:rsidR="00C253A9" w:rsidRPr="006E536D" w:rsidRDefault="00C253A9" w:rsidP="00C253A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color w:val="auto"/>
                <w:lang w:val="en-US" w:eastAsia="en-AU"/>
              </w:rPr>
            </w:pPr>
            <w:r w:rsidRPr="006E536D">
              <w:rPr>
                <w:rFonts w:cstheme="minorHAnsi"/>
                <w:color w:val="auto"/>
                <w:lang w:val="en-US" w:eastAsia="en-AU"/>
              </w:rPr>
              <w:t>Offer continued support as your new employee settles into your business.</w:t>
            </w:r>
          </w:p>
          <w:p w14:paraId="2B0D6002" w14:textId="77777777" w:rsidR="00C253A9" w:rsidRPr="006E536D" w:rsidRDefault="00C253A9" w:rsidP="00C253A9">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388CF5A7" w14:textId="6F553514" w:rsidR="00C253A9" w:rsidRPr="006E536D" w:rsidRDefault="00C253A9" w:rsidP="002F54C5">
            <w:pPr>
              <w:cnfStyle w:val="000000100000" w:firstRow="0" w:lastRow="0" w:firstColumn="0" w:lastColumn="0" w:oddVBand="0" w:evenVBand="0" w:oddHBand="1" w:evenHBand="0" w:firstRowFirstColumn="0" w:firstRowLastColumn="0" w:lastRowFirstColumn="0" w:lastRowLastColumn="0"/>
              <w:rPr>
                <w:rFonts w:cstheme="minorHAnsi"/>
                <w:lang w:val="en-US" w:eastAsia="en-AU"/>
              </w:rPr>
            </w:pPr>
            <w:r w:rsidRPr="006E536D">
              <w:rPr>
                <w:rFonts w:cstheme="minorHAnsi"/>
                <w:color w:val="auto"/>
                <w:lang w:val="en-US" w:eastAsia="en-AU"/>
              </w:rPr>
              <w:t>To find a provider near you please visit</w:t>
            </w:r>
            <w:r w:rsidRPr="006E536D">
              <w:rPr>
                <w:rFonts w:cstheme="minorHAnsi"/>
                <w:color w:val="auto"/>
              </w:rPr>
              <w:t xml:space="preserve"> </w:t>
            </w:r>
            <w:hyperlink r:id="rId25" w:history="1">
              <w:r w:rsidRPr="002C55B8">
                <w:rPr>
                  <w:rStyle w:val="Hyperlink"/>
                  <w:rFonts w:cstheme="minorHAnsi"/>
                </w:rPr>
                <w:t>jobsearch.gov.au</w:t>
              </w:r>
            </w:hyperlink>
          </w:p>
        </w:tc>
      </w:tr>
      <w:tr w:rsidR="00C253A9" w:rsidRPr="00C253A9" w14:paraId="0F4854B5" w14:textId="77777777" w:rsidTr="00C253A9">
        <w:trPr>
          <w:trHeight w:val="1395"/>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7DF93401" w14:textId="461A797C" w:rsidR="00C253A9" w:rsidRPr="00ED36A9" w:rsidRDefault="00C253A9" w:rsidP="00C253A9">
            <w:pPr>
              <w:pStyle w:val="BodyText"/>
              <w:rPr>
                <w:color w:val="00283E" w:themeColor="accent2"/>
                <w:sz w:val="24"/>
                <w:szCs w:val="24"/>
              </w:rPr>
            </w:pPr>
            <w:r w:rsidRPr="00ED36A9">
              <w:rPr>
                <w:color w:val="00283E" w:themeColor="accent2"/>
                <w:sz w:val="24"/>
                <w:szCs w:val="24"/>
                <w:lang w:val="en-US" w:eastAsia="en-AU"/>
              </w:rPr>
              <w:t xml:space="preserve">Find staff in remote Australia through </w:t>
            </w:r>
            <w:r>
              <w:rPr>
                <w:color w:val="00283E" w:themeColor="accent2"/>
                <w:sz w:val="24"/>
                <w:szCs w:val="24"/>
                <w:lang w:val="en-US" w:eastAsia="en-AU"/>
              </w:rPr>
              <w:br/>
            </w:r>
            <w:r w:rsidRPr="00ED36A9">
              <w:rPr>
                <w:color w:val="00283E" w:themeColor="accent2"/>
                <w:sz w:val="24"/>
                <w:szCs w:val="24"/>
                <w:lang w:val="en-US" w:eastAsia="en-AU"/>
              </w:rPr>
              <w:t>the CDP</w:t>
            </w:r>
          </w:p>
        </w:tc>
        <w:tc>
          <w:tcPr>
            <w:tcW w:w="6186" w:type="dxa"/>
            <w:tcBorders>
              <w:left w:val="single" w:sz="24" w:space="0" w:color="00283E" w:themeColor="accent2"/>
            </w:tcBorders>
            <w:shd w:val="clear" w:color="auto" w:fill="auto"/>
          </w:tcPr>
          <w:p w14:paraId="7D2B6BB6" w14:textId="16FFC1F4" w:rsidR="00C253A9" w:rsidRPr="006E536D" w:rsidRDefault="00C253A9" w:rsidP="00C253A9">
            <w:pPr>
              <w:pStyle w:val="BodyText"/>
              <w:cnfStyle w:val="000000000000" w:firstRow="0" w:lastRow="0" w:firstColumn="0" w:lastColumn="0" w:oddVBand="0" w:evenVBand="0" w:oddHBand="0" w:evenHBand="0" w:firstRowFirstColumn="0" w:firstRowLastColumn="0" w:lastRowFirstColumn="0" w:lastRowLastColumn="0"/>
              <w:rPr>
                <w:rFonts w:cstheme="minorHAnsi"/>
                <w:b/>
                <w:color w:val="auto"/>
                <w:lang w:val="en-US" w:eastAsia="en-AU"/>
              </w:rPr>
            </w:pPr>
            <w:r w:rsidRPr="006E536D">
              <w:rPr>
                <w:rFonts w:cstheme="minorHAnsi"/>
                <w:color w:val="auto"/>
                <w:lang w:val="en-US" w:eastAsia="en-AU"/>
              </w:rPr>
              <w:t xml:space="preserve">NIAA deliver employment services in remote Australia under the </w:t>
            </w:r>
            <w:r w:rsidRPr="006E536D">
              <w:rPr>
                <w:rFonts w:cstheme="minorHAnsi"/>
                <w:b/>
                <w:color w:val="auto"/>
                <w:lang w:val="en-US" w:eastAsia="en-AU"/>
              </w:rPr>
              <w:t>Community Development Program</w:t>
            </w:r>
            <w:r w:rsidRPr="006E536D">
              <w:rPr>
                <w:rFonts w:cstheme="minorHAnsi"/>
                <w:color w:val="auto"/>
                <w:lang w:val="en-US" w:eastAsia="en-AU"/>
              </w:rPr>
              <w:t xml:space="preserve"> (CDP). Local service providers deliver the Program and act as the single point of contact for job seekers, employers and host </w:t>
            </w:r>
            <w:proofErr w:type="spellStart"/>
            <w:r w:rsidRPr="006E536D">
              <w:rPr>
                <w:rFonts w:cstheme="minorHAnsi"/>
                <w:color w:val="auto"/>
                <w:lang w:val="en-US" w:eastAsia="en-AU"/>
              </w:rPr>
              <w:t>organisations</w:t>
            </w:r>
            <w:proofErr w:type="spellEnd"/>
            <w:r w:rsidRPr="006E536D">
              <w:rPr>
                <w:rFonts w:cstheme="minorHAnsi"/>
                <w:color w:val="auto"/>
                <w:lang w:val="en-US" w:eastAsia="en-AU"/>
              </w:rPr>
              <w:t xml:space="preserve"> in each community.</w:t>
            </w:r>
          </w:p>
          <w:p w14:paraId="5C4CF463" w14:textId="67527C01" w:rsidR="00C253A9" w:rsidRPr="00115BF9" w:rsidRDefault="00C253A9" w:rsidP="00115BF9">
            <w:pPr>
              <w:pStyle w:val="BodyText"/>
              <w:cnfStyle w:val="000000000000" w:firstRow="0" w:lastRow="0" w:firstColumn="0" w:lastColumn="0" w:oddVBand="0" w:evenVBand="0" w:oddHBand="0" w:evenHBand="0" w:firstRowFirstColumn="0" w:firstRowLastColumn="0" w:lastRowFirstColumn="0" w:lastRowLastColumn="0"/>
              <w:rPr>
                <w:rFonts w:cstheme="minorHAnsi"/>
                <w:b/>
                <w:color w:val="0070AE" w:themeColor="hyperlink"/>
                <w:u w:val="single"/>
              </w:rPr>
            </w:pPr>
            <w:r w:rsidRPr="006E536D">
              <w:rPr>
                <w:rFonts w:cstheme="minorHAnsi"/>
                <w:color w:val="auto"/>
                <w:lang w:val="en-US" w:eastAsia="en-AU"/>
              </w:rPr>
              <w:t xml:space="preserve">To search for CDP providers who may be able to </w:t>
            </w:r>
            <w:r w:rsidRPr="00455FD8">
              <w:rPr>
                <w:color w:val="auto"/>
                <w:lang w:val="en-US" w:eastAsia="en-AU"/>
              </w:rPr>
              <w:t xml:space="preserve">support you to </w:t>
            </w:r>
            <w:r w:rsidRPr="006E536D">
              <w:rPr>
                <w:rFonts w:cstheme="minorHAnsi"/>
                <w:color w:val="auto"/>
                <w:lang w:val="en-US" w:eastAsia="en-AU"/>
              </w:rPr>
              <w:t>connect with remote jobseekers in your area please visit</w:t>
            </w:r>
            <w:r>
              <w:rPr>
                <w:lang w:val="en-US" w:eastAsia="en-AU"/>
              </w:rPr>
              <w:br/>
            </w:r>
            <w:hyperlink r:id="rId26" w:history="1">
              <w:hyperlink r:id="rId27" w:history="1">
                <w:r w:rsidRPr="00AD7C02">
                  <w:rPr>
                    <w:rStyle w:val="Hyperlink"/>
                    <w:rFonts w:cstheme="minorHAnsi"/>
                  </w:rPr>
                  <w:t>jobsearch.gov.au</w:t>
                </w:r>
              </w:hyperlink>
            </w:hyperlink>
          </w:p>
        </w:tc>
      </w:tr>
      <w:tr w:rsidR="00C253A9" w:rsidRPr="00C253A9" w14:paraId="47686902" w14:textId="77777777" w:rsidTr="00C253A9">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3AD4B54A" w14:textId="29324640" w:rsidR="00C253A9" w:rsidRPr="00ED36A9" w:rsidRDefault="00C253A9" w:rsidP="00C253A9">
            <w:pPr>
              <w:pStyle w:val="BodyText"/>
              <w:rPr>
                <w:color w:val="00283E" w:themeColor="accent2"/>
                <w:sz w:val="24"/>
                <w:szCs w:val="24"/>
                <w:lang w:val="en-US" w:eastAsia="en-AU"/>
              </w:rPr>
            </w:pPr>
            <w:r w:rsidRPr="00ED36A9">
              <w:rPr>
                <w:rFonts w:cstheme="minorHAnsi"/>
                <w:color w:val="00283E" w:themeColor="accent2"/>
                <w:sz w:val="24"/>
                <w:szCs w:val="24"/>
                <w:lang w:val="en-US" w:eastAsia="en-AU"/>
              </w:rPr>
              <w:t xml:space="preserve">Speak to a vocational training and employment specialist </w:t>
            </w:r>
          </w:p>
        </w:tc>
        <w:tc>
          <w:tcPr>
            <w:tcW w:w="6186" w:type="dxa"/>
            <w:tcBorders>
              <w:left w:val="single" w:sz="24" w:space="0" w:color="00283E" w:themeColor="accent2"/>
            </w:tcBorders>
            <w:shd w:val="clear" w:color="auto" w:fill="auto"/>
          </w:tcPr>
          <w:p w14:paraId="741C29F1" w14:textId="18347A82" w:rsidR="00C253A9" w:rsidRPr="006E536D" w:rsidRDefault="00C253A9" w:rsidP="00C253A9">
            <w:pPr>
              <w:pStyle w:val="BodyText"/>
              <w:cnfStyle w:val="000000100000" w:firstRow="0" w:lastRow="0" w:firstColumn="0" w:lastColumn="0" w:oddVBand="0" w:evenVBand="0" w:oddHBand="1" w:evenHBand="0" w:firstRowFirstColumn="0" w:firstRowLastColumn="0" w:lastRowFirstColumn="0" w:lastRowLastColumn="0"/>
              <w:rPr>
                <w:rFonts w:cstheme="minorHAnsi"/>
                <w:color w:val="auto"/>
                <w:lang w:val="en-US" w:eastAsia="en-AU"/>
              </w:rPr>
            </w:pPr>
            <w:r w:rsidRPr="006E536D">
              <w:rPr>
                <w:rFonts w:cstheme="minorHAnsi"/>
                <w:color w:val="auto"/>
                <w:lang w:val="en-US" w:eastAsia="en-AU"/>
              </w:rPr>
              <w:t xml:space="preserve">Vocational Training and Employment Centres (VTECs) can recruit and train </w:t>
            </w:r>
            <w:r w:rsidR="00103B0B" w:rsidRPr="00103B0B">
              <w:rPr>
                <w:rFonts w:cstheme="minorHAnsi"/>
                <w:color w:val="auto"/>
                <w:lang w:val="en-US" w:eastAsia="en-AU"/>
              </w:rPr>
              <w:t>Aboriginal and Torres Strait Islander</w:t>
            </w:r>
            <w:r w:rsidRPr="006E536D">
              <w:rPr>
                <w:rFonts w:cstheme="minorHAnsi"/>
                <w:color w:val="auto"/>
                <w:lang w:val="en-US" w:eastAsia="en-AU"/>
              </w:rPr>
              <w:t xml:space="preserve"> job seekers for jobs in your organisation. VTECs work closely with employers to find the right person for a job and deliver training to </w:t>
            </w:r>
            <w:r w:rsidR="00103B0B" w:rsidRPr="00103B0B">
              <w:rPr>
                <w:rFonts w:cstheme="minorHAnsi"/>
                <w:color w:val="auto"/>
                <w:lang w:val="en-US" w:eastAsia="en-AU"/>
              </w:rPr>
              <w:t>Aboriginal and Torres Strait Islander</w:t>
            </w:r>
            <w:r w:rsidRPr="006E536D">
              <w:rPr>
                <w:rFonts w:cstheme="minorHAnsi"/>
                <w:color w:val="auto"/>
                <w:lang w:val="en-US" w:eastAsia="en-AU"/>
              </w:rPr>
              <w:t xml:space="preserve"> job seekers to ensure their success. </w:t>
            </w:r>
          </w:p>
          <w:p w14:paraId="51A4F860" w14:textId="66A30608" w:rsidR="00C253A9" w:rsidRPr="006E536D" w:rsidRDefault="00C253A9" w:rsidP="00C253A9">
            <w:pPr>
              <w:pStyle w:val="BodyText"/>
              <w:cnfStyle w:val="000000100000" w:firstRow="0" w:lastRow="0" w:firstColumn="0" w:lastColumn="0" w:oddVBand="0" w:evenVBand="0" w:oddHBand="1" w:evenHBand="0" w:firstRowFirstColumn="0" w:firstRowLastColumn="0" w:lastRowFirstColumn="0" w:lastRowLastColumn="0"/>
              <w:rPr>
                <w:rFonts w:cstheme="minorHAnsi"/>
                <w:color w:val="auto"/>
                <w:lang w:val="en-US" w:eastAsia="en-AU"/>
              </w:rPr>
            </w:pPr>
            <w:r w:rsidRPr="006E536D">
              <w:rPr>
                <w:rFonts w:cstheme="minorHAnsi"/>
                <w:color w:val="auto"/>
                <w:lang w:val="en-US" w:eastAsia="en-AU"/>
              </w:rPr>
              <w:t xml:space="preserve">Employers must commit to employing the job seeker for at least 26 weeks, following training. VTECs can also provide mentoring and </w:t>
            </w:r>
            <w:r w:rsidRPr="006E536D">
              <w:rPr>
                <w:rFonts w:cstheme="minorHAnsi"/>
                <w:color w:val="auto"/>
                <w:lang w:val="en-US" w:eastAsia="en-AU"/>
              </w:rPr>
              <w:br/>
              <w:t xml:space="preserve">wrap around support during work placements. </w:t>
            </w:r>
          </w:p>
          <w:p w14:paraId="0D3BBA58" w14:textId="6AAB88F9" w:rsidR="000118B9" w:rsidRPr="00115BF9" w:rsidRDefault="00C253A9" w:rsidP="00C253A9">
            <w:pPr>
              <w:pStyle w:val="BodyText"/>
              <w:cnfStyle w:val="000000100000" w:firstRow="0" w:lastRow="0" w:firstColumn="0" w:lastColumn="0" w:oddVBand="0" w:evenVBand="0" w:oddHBand="1" w:evenHBand="0" w:firstRowFirstColumn="0" w:firstRowLastColumn="0" w:lastRowFirstColumn="0" w:lastRowLastColumn="0"/>
              <w:rPr>
                <w:color w:val="0070AE" w:themeColor="hyperlink"/>
                <w:u w:val="single"/>
              </w:rPr>
            </w:pPr>
            <w:r w:rsidRPr="006E536D">
              <w:rPr>
                <w:rFonts w:cstheme="minorHAnsi"/>
                <w:color w:val="auto"/>
                <w:lang w:val="en-US" w:eastAsia="en-AU"/>
              </w:rPr>
              <w:t>To find out more, including a list of VTEC contact and location details, plea</w:t>
            </w:r>
            <w:r w:rsidRPr="00414513">
              <w:rPr>
                <w:szCs w:val="24"/>
                <w:lang w:val="en-US" w:eastAsia="en-AU"/>
              </w:rPr>
              <w:t>se visit</w:t>
            </w:r>
            <w:hyperlink r:id="rId28" w:history="1">
              <w:r w:rsidRPr="006E536D">
                <w:rPr>
                  <w:rStyle w:val="Hyperlink"/>
                  <w:rFonts w:cstheme="minorHAnsi"/>
                  <w:color w:val="auto"/>
                  <w:u w:val="none"/>
                </w:rPr>
                <w:t xml:space="preserve"> </w:t>
              </w:r>
              <w:r w:rsidRPr="006E536D">
                <w:rPr>
                  <w:rStyle w:val="Hyperlink"/>
                </w:rPr>
                <w:t>www.niaa.gov.au/vtec</w:t>
              </w:r>
            </w:hyperlink>
          </w:p>
        </w:tc>
      </w:tr>
      <w:tr w:rsidR="00C253A9" w:rsidRPr="00C253A9" w14:paraId="1576AF80" w14:textId="77777777" w:rsidTr="00C253A9">
        <w:trPr>
          <w:trHeight w:val="1395"/>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55080447" w14:textId="231CE4FE" w:rsidR="00C253A9" w:rsidRPr="00ED36A9" w:rsidRDefault="00C253A9" w:rsidP="00C253A9">
            <w:pPr>
              <w:rPr>
                <w:rFonts w:cstheme="minorHAnsi"/>
                <w:color w:val="00283E" w:themeColor="accent2"/>
                <w:sz w:val="24"/>
                <w:szCs w:val="24"/>
                <w:lang w:val="en-US" w:eastAsia="en-AU"/>
              </w:rPr>
            </w:pPr>
            <w:r w:rsidRPr="00ED36A9">
              <w:rPr>
                <w:rFonts w:cstheme="minorHAnsi"/>
                <w:color w:val="00283E" w:themeColor="accent2"/>
                <w:sz w:val="24"/>
                <w:szCs w:val="24"/>
                <w:lang w:val="en-US" w:eastAsia="en-AU"/>
              </w:rPr>
              <w:t xml:space="preserve">Support </w:t>
            </w:r>
            <w:r w:rsidR="00103B0B" w:rsidRPr="00103B0B">
              <w:rPr>
                <w:rFonts w:cstheme="minorHAnsi"/>
                <w:color w:val="00283E" w:themeColor="accent2"/>
                <w:sz w:val="24"/>
                <w:szCs w:val="24"/>
                <w:lang w:val="en-US" w:eastAsia="en-AU"/>
              </w:rPr>
              <w:t>Aboriginal and Torres Strait Islander</w:t>
            </w:r>
            <w:r w:rsidRPr="00ED36A9">
              <w:rPr>
                <w:rFonts w:cstheme="minorHAnsi"/>
                <w:color w:val="00283E" w:themeColor="accent2"/>
                <w:sz w:val="24"/>
                <w:szCs w:val="24"/>
                <w:lang w:val="en-US" w:eastAsia="en-AU"/>
              </w:rPr>
              <w:t xml:space="preserve"> university students through paid </w:t>
            </w:r>
            <w:r>
              <w:rPr>
                <w:rFonts w:cstheme="minorHAnsi"/>
                <w:color w:val="00283E" w:themeColor="accent2"/>
                <w:sz w:val="24"/>
                <w:szCs w:val="24"/>
                <w:lang w:val="en-US" w:eastAsia="en-AU"/>
              </w:rPr>
              <w:br/>
            </w:r>
            <w:r w:rsidRPr="00ED36A9">
              <w:rPr>
                <w:rFonts w:cstheme="minorHAnsi"/>
                <w:color w:val="00283E" w:themeColor="accent2"/>
                <w:sz w:val="24"/>
                <w:szCs w:val="24"/>
                <w:lang w:val="en-US" w:eastAsia="en-AU"/>
              </w:rPr>
              <w:t>work-placements</w:t>
            </w:r>
          </w:p>
          <w:p w14:paraId="434059B4" w14:textId="77777777" w:rsidR="00C253A9" w:rsidRPr="00ED36A9" w:rsidRDefault="00C253A9" w:rsidP="00C253A9">
            <w:pPr>
              <w:pStyle w:val="BodyText"/>
              <w:rPr>
                <w:rFonts w:cstheme="minorHAnsi"/>
                <w:color w:val="00283E" w:themeColor="accent2"/>
                <w:sz w:val="24"/>
                <w:szCs w:val="24"/>
                <w:lang w:val="en-US" w:eastAsia="en-AU"/>
              </w:rPr>
            </w:pPr>
          </w:p>
        </w:tc>
        <w:tc>
          <w:tcPr>
            <w:tcW w:w="6186" w:type="dxa"/>
            <w:tcBorders>
              <w:left w:val="single" w:sz="24" w:space="0" w:color="00283E" w:themeColor="accent2"/>
            </w:tcBorders>
            <w:shd w:val="clear" w:color="auto" w:fill="auto"/>
          </w:tcPr>
          <w:p w14:paraId="58398667" w14:textId="1CEE3BFB" w:rsidR="00C253A9" w:rsidRPr="006E536D" w:rsidRDefault="00C253A9" w:rsidP="00C253A9">
            <w:pPr>
              <w:pStyle w:val="BodyText"/>
              <w:cnfStyle w:val="000000000000" w:firstRow="0" w:lastRow="0" w:firstColumn="0" w:lastColumn="0" w:oddVBand="0" w:evenVBand="0" w:oddHBand="0" w:evenHBand="0" w:firstRowFirstColumn="0" w:firstRowLastColumn="0" w:lastRowFirstColumn="0" w:lastRowLastColumn="0"/>
              <w:rPr>
                <w:rFonts w:cstheme="minorHAnsi"/>
                <w:b/>
                <w:color w:val="auto"/>
                <w:lang w:val="en-US" w:eastAsia="en-AU"/>
              </w:rPr>
            </w:pPr>
            <w:r w:rsidRPr="00455FD8">
              <w:rPr>
                <w:color w:val="auto"/>
                <w:lang w:val="en-US" w:eastAsia="en-AU"/>
              </w:rPr>
              <w:t xml:space="preserve">You </w:t>
            </w:r>
            <w:r w:rsidRPr="006E536D">
              <w:rPr>
                <w:rFonts w:cstheme="minorHAnsi"/>
                <w:color w:val="auto"/>
                <w:lang w:val="en-US" w:eastAsia="en-AU"/>
              </w:rPr>
              <w:t>can employ Aboriginal and Torres Strait Islander university students as ‘cadets’ through paid work-placement opportunities during the course of their study.</w:t>
            </w:r>
          </w:p>
          <w:p w14:paraId="31E5FE3A" w14:textId="77777777" w:rsidR="00C253A9" w:rsidRPr="006E536D" w:rsidRDefault="00C253A9" w:rsidP="00C253A9">
            <w:pPr>
              <w:pStyle w:val="BodyText"/>
              <w:cnfStyle w:val="000000000000" w:firstRow="0" w:lastRow="0" w:firstColumn="0" w:lastColumn="0" w:oddVBand="0" w:evenVBand="0" w:oddHBand="0" w:evenHBand="0" w:firstRowFirstColumn="0" w:firstRowLastColumn="0" w:lastRowFirstColumn="0" w:lastRowLastColumn="0"/>
              <w:rPr>
                <w:rFonts w:cstheme="minorHAnsi"/>
                <w:b/>
                <w:color w:val="auto"/>
                <w:lang w:val="en-US" w:eastAsia="en-AU"/>
              </w:rPr>
            </w:pPr>
            <w:r w:rsidRPr="006E536D">
              <w:rPr>
                <w:rFonts w:cstheme="minorHAnsi"/>
                <w:color w:val="auto"/>
                <w:lang w:val="en-US" w:eastAsia="en-AU"/>
              </w:rPr>
              <w:t xml:space="preserve">Cadetships can be managed through a provider, or you can apply through the </w:t>
            </w:r>
            <w:hyperlink r:id="rId29" w:history="1">
              <w:r w:rsidRPr="006E536D">
                <w:rPr>
                  <w:rFonts w:cstheme="minorHAnsi"/>
                  <w:color w:val="auto"/>
                  <w:lang w:val="en-US" w:eastAsia="en-AU"/>
                </w:rPr>
                <w:t>Tailored Assistance Employment Grant (TAEG)</w:t>
              </w:r>
            </w:hyperlink>
            <w:r w:rsidRPr="006E536D">
              <w:rPr>
                <w:rFonts w:cstheme="minorHAnsi"/>
                <w:color w:val="auto"/>
                <w:lang w:val="en-US" w:eastAsia="en-AU"/>
              </w:rPr>
              <w:t xml:space="preserve"> process </w:t>
            </w:r>
            <w:r w:rsidRPr="006E536D">
              <w:rPr>
                <w:rFonts w:cstheme="minorHAnsi"/>
                <w:color w:val="auto"/>
                <w:lang w:val="en-US" w:eastAsia="en-AU"/>
              </w:rPr>
              <w:br/>
              <w:t>to establish cadetship opportunities through your own recruitment channels, including universities.</w:t>
            </w:r>
          </w:p>
          <w:p w14:paraId="5635D26C" w14:textId="603AFB53" w:rsidR="00C253A9" w:rsidRPr="00CA2550" w:rsidRDefault="00C253A9" w:rsidP="00CA2550">
            <w:pPr>
              <w:pStyle w:val="BodyText"/>
              <w:cnfStyle w:val="000000000000" w:firstRow="0" w:lastRow="0" w:firstColumn="0" w:lastColumn="0" w:oddVBand="0" w:evenVBand="0" w:oddHBand="0" w:evenHBand="0" w:firstRowFirstColumn="0" w:firstRowLastColumn="0" w:lastRowFirstColumn="0" w:lastRowLastColumn="0"/>
              <w:rPr>
                <w:lang w:val="en-US" w:eastAsia="en-AU"/>
              </w:rPr>
            </w:pPr>
            <w:r w:rsidRPr="006E536D">
              <w:rPr>
                <w:rFonts w:cstheme="minorHAnsi"/>
                <w:color w:val="auto"/>
                <w:lang w:val="en-US" w:eastAsia="en-AU"/>
              </w:rPr>
              <w:t xml:space="preserve">To find out more please visit </w:t>
            </w:r>
            <w:hyperlink r:id="rId30" w:history="1">
              <w:r w:rsidRPr="006E536D">
                <w:rPr>
                  <w:color w:val="0070AE" w:themeColor="hyperlink"/>
                  <w:u w:val="single"/>
                </w:rPr>
                <w:t>www.niaa.gov.au/indigenous-affairs/employment/indigenous-cadetship-support</w:t>
              </w:r>
            </w:hyperlink>
            <w:r w:rsidR="006E536D">
              <w:rPr>
                <w:rFonts w:cstheme="minorHAnsi"/>
              </w:rPr>
              <w:t>.</w:t>
            </w:r>
          </w:p>
        </w:tc>
      </w:tr>
      <w:tr w:rsidR="00C253A9" w:rsidRPr="00C253A9" w14:paraId="1512B229" w14:textId="77777777" w:rsidTr="00C253A9">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2830" w:type="dxa"/>
            <w:tcBorders>
              <w:right w:val="single" w:sz="24" w:space="0" w:color="00283E" w:themeColor="accent2"/>
            </w:tcBorders>
            <w:shd w:val="clear" w:color="auto" w:fill="FFFFFF" w:themeFill="background1"/>
          </w:tcPr>
          <w:p w14:paraId="1861EBF5" w14:textId="09499A5A" w:rsidR="00C253A9" w:rsidRPr="00ED36A9" w:rsidRDefault="00C253A9" w:rsidP="00C253A9">
            <w:pPr>
              <w:rPr>
                <w:rFonts w:cstheme="minorHAnsi"/>
                <w:color w:val="00283E" w:themeColor="accent2"/>
                <w:sz w:val="24"/>
                <w:szCs w:val="24"/>
                <w:lang w:val="en-US" w:eastAsia="en-AU"/>
              </w:rPr>
            </w:pPr>
            <w:r>
              <w:rPr>
                <w:rFonts w:cstheme="minorHAnsi"/>
                <w:color w:val="00283E" w:themeColor="accent2"/>
                <w:sz w:val="24"/>
                <w:szCs w:val="24"/>
                <w:lang w:val="en-US" w:eastAsia="en-AU"/>
              </w:rPr>
              <w:t xml:space="preserve">Glossary of Key terms </w:t>
            </w:r>
          </w:p>
        </w:tc>
        <w:tc>
          <w:tcPr>
            <w:tcW w:w="6186" w:type="dxa"/>
            <w:tcBorders>
              <w:left w:val="single" w:sz="24" w:space="0" w:color="00283E" w:themeColor="accent2"/>
            </w:tcBorders>
            <w:shd w:val="clear" w:color="auto" w:fill="auto"/>
          </w:tcPr>
          <w:p w14:paraId="22CBFCCA" w14:textId="77777777" w:rsidR="00382D8C" w:rsidRPr="00382D8C" w:rsidRDefault="00FD2266" w:rsidP="006E536D">
            <w:pPr>
              <w:contextualSpacing/>
              <w:cnfStyle w:val="000000100000" w:firstRow="0" w:lastRow="0" w:firstColumn="0" w:lastColumn="0" w:oddVBand="0" w:evenVBand="0" w:oddHBand="1" w:evenHBand="0" w:firstRowFirstColumn="0" w:firstRowLastColumn="0" w:lastRowFirstColumn="0" w:lastRowLastColumn="0"/>
              <w:rPr>
                <w:bCs/>
              </w:rPr>
            </w:pPr>
            <w:hyperlink r:id="rId31" w:history="1">
              <w:r w:rsidR="00382D8C" w:rsidRPr="00382D8C">
                <w:rPr>
                  <w:bCs/>
                  <w:color w:val="0070AE" w:themeColor="hyperlink"/>
                  <w:u w:val="single"/>
                </w:rPr>
                <w:t>http://www.nntt.gov.au/Pages/Glossary.aspx</w:t>
              </w:r>
            </w:hyperlink>
            <w:r w:rsidR="00382D8C" w:rsidRPr="00382D8C">
              <w:rPr>
                <w:bCs/>
              </w:rPr>
              <w:t xml:space="preserve"> </w:t>
            </w:r>
          </w:p>
          <w:p w14:paraId="7FA5C20F" w14:textId="77777777" w:rsidR="00C253A9" w:rsidRPr="00455FD8" w:rsidRDefault="00C253A9" w:rsidP="00C253A9">
            <w:pPr>
              <w:pStyle w:val="BodyText"/>
              <w:cnfStyle w:val="000000100000" w:firstRow="0" w:lastRow="0" w:firstColumn="0" w:lastColumn="0" w:oddVBand="0" w:evenVBand="0" w:oddHBand="1" w:evenHBand="0" w:firstRowFirstColumn="0" w:firstRowLastColumn="0" w:lastRowFirstColumn="0" w:lastRowLastColumn="0"/>
              <w:rPr>
                <w:lang w:val="en-US" w:eastAsia="en-AU"/>
              </w:rPr>
            </w:pPr>
          </w:p>
        </w:tc>
      </w:tr>
    </w:tbl>
    <w:p w14:paraId="17A31E8F" w14:textId="0C947FBF" w:rsidR="00C253A9" w:rsidRPr="000D1DC6" w:rsidRDefault="00C253A9" w:rsidP="00FE6589"/>
    <w:p w14:paraId="319F87C6" w14:textId="77777777" w:rsidR="006165DE" w:rsidRDefault="006165DE">
      <w:pPr>
        <w:sectPr w:rsidR="006165DE" w:rsidSect="00F535C7">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135" w:left="1440" w:header="708" w:footer="708" w:gutter="0"/>
          <w:cols w:space="708"/>
          <w:titlePg/>
          <w:docGrid w:linePitch="360"/>
        </w:sectPr>
      </w:pPr>
    </w:p>
    <w:p w14:paraId="4792E778" w14:textId="539E625D" w:rsidR="008E7C2C" w:rsidRPr="00230762" w:rsidRDefault="0096374F" w:rsidP="0096374F">
      <w:pPr>
        <w:pStyle w:val="Heading2"/>
        <w:rPr>
          <w:rFonts w:asciiTheme="minorHAnsi" w:hAnsiTheme="minorHAnsi" w:cstheme="minorHAnsi"/>
        </w:rPr>
      </w:pPr>
      <w:r w:rsidRPr="00230762">
        <w:rPr>
          <w:rFonts w:asciiTheme="minorHAnsi" w:hAnsiTheme="minorHAnsi" w:cstheme="minorHAnsi"/>
        </w:rPr>
        <w:lastRenderedPageBreak/>
        <w:t>Template</w:t>
      </w:r>
      <w:r w:rsidR="007B510A" w:rsidRPr="00230762">
        <w:rPr>
          <w:rFonts w:asciiTheme="minorHAnsi" w:hAnsiTheme="minorHAnsi" w:cstheme="minorHAnsi"/>
        </w:rPr>
        <w:t xml:space="preserve">: </w:t>
      </w:r>
      <w:r w:rsidR="00476335">
        <w:rPr>
          <w:rFonts w:asciiTheme="minorHAnsi" w:hAnsiTheme="minorHAnsi" w:cstheme="minorHAnsi"/>
        </w:rPr>
        <w:t xml:space="preserve">Draft </w:t>
      </w:r>
      <w:r w:rsidR="007B510A" w:rsidRPr="00230762">
        <w:rPr>
          <w:rFonts w:asciiTheme="minorHAnsi" w:hAnsiTheme="minorHAnsi" w:cstheme="minorHAnsi"/>
        </w:rPr>
        <w:t>Aboriginal and Torres Strait Islander Engagement &amp; Participation Plan</w:t>
      </w:r>
    </w:p>
    <w:p w14:paraId="286DE853" w14:textId="5918CFDD" w:rsidR="00CA2562" w:rsidRPr="008D1CC2" w:rsidRDefault="008D1CC2" w:rsidP="008D1CC2">
      <w:r w:rsidRPr="008D1CC2">
        <w:t>The intent of an EPP is for applicants to consider where their needs and the needs of the Aboriginal and Torres Strait Islander community align to create a strong, productive relationship</w:t>
      </w:r>
      <w:r>
        <w:t xml:space="preserve"> across the Manufacturing Collaboration Stream project</w:t>
      </w:r>
      <w:r w:rsidRPr="008D1CC2">
        <w:t xml:space="preserve">. </w:t>
      </w:r>
      <w:r w:rsidR="00634D13">
        <w:t xml:space="preserve">Consultation should underpin all aspects of the EPP. </w:t>
      </w:r>
      <w:r w:rsidRPr="008D1CC2">
        <w:t xml:space="preserve">A good EPP will have fully considered, in consultation with Traditional Owners and other </w:t>
      </w:r>
      <w:r w:rsidR="00DA7CED" w:rsidRPr="00DA7CED">
        <w:t>Aboriginal and Torres Strait Islander</w:t>
      </w:r>
      <w:r w:rsidRPr="008D1CC2">
        <w:t xml:space="preserve"> people with interests, appropriate opportunities for community consultation and collaboration, procurement and employment that reflect the regional Aboriginal and Torres Strait Islander community commensurate with the nature, scope and location of the project, and the capacity of the proponent.</w:t>
      </w:r>
      <w:r w:rsidR="00634D13">
        <w:t xml:space="preserve"> </w:t>
      </w:r>
    </w:p>
    <w:tbl>
      <w:tblPr>
        <w:tblStyle w:val="TableGrid"/>
        <w:tblW w:w="0" w:type="auto"/>
        <w:tblLook w:val="04A0" w:firstRow="1" w:lastRow="0" w:firstColumn="1" w:lastColumn="0" w:noHBand="0" w:noVBand="1"/>
      </w:tblPr>
      <w:tblGrid>
        <w:gridCol w:w="1696"/>
        <w:gridCol w:w="1105"/>
        <w:gridCol w:w="3148"/>
        <w:gridCol w:w="3067"/>
      </w:tblGrid>
      <w:tr w:rsidR="00EC4682" w14:paraId="65044BA5" w14:textId="5F544343" w:rsidTr="00EC4682">
        <w:tc>
          <w:tcPr>
            <w:tcW w:w="1696" w:type="dxa"/>
          </w:tcPr>
          <w:p w14:paraId="35645457" w14:textId="7DA86086" w:rsidR="00EC4682" w:rsidRPr="00BB0B60" w:rsidRDefault="00EC4682" w:rsidP="00EC4682">
            <w:r w:rsidRPr="00BB0B60">
              <w:t>Project name:</w:t>
            </w:r>
          </w:p>
        </w:tc>
        <w:tc>
          <w:tcPr>
            <w:tcW w:w="7320" w:type="dxa"/>
            <w:gridSpan w:val="3"/>
          </w:tcPr>
          <w:p w14:paraId="3EA559FA" w14:textId="77777777" w:rsidR="00EC4682" w:rsidRPr="00EC4682" w:rsidRDefault="00EC4682" w:rsidP="00EC4682">
            <w:pPr>
              <w:rPr>
                <w:b/>
              </w:rPr>
            </w:pPr>
          </w:p>
        </w:tc>
      </w:tr>
      <w:tr w:rsidR="00BB0B60" w14:paraId="31F93F5E" w14:textId="77777777" w:rsidTr="00EC4682">
        <w:tc>
          <w:tcPr>
            <w:tcW w:w="1696" w:type="dxa"/>
          </w:tcPr>
          <w:p w14:paraId="1DE9F37F" w14:textId="30186E36" w:rsidR="00BB0B60" w:rsidRPr="00BB0B60" w:rsidRDefault="00BB0B60" w:rsidP="00EC4682">
            <w:r w:rsidRPr="00BB0B60">
              <w:t>Applicant ABN:</w:t>
            </w:r>
          </w:p>
        </w:tc>
        <w:tc>
          <w:tcPr>
            <w:tcW w:w="7320" w:type="dxa"/>
            <w:gridSpan w:val="3"/>
          </w:tcPr>
          <w:p w14:paraId="332F205C" w14:textId="77777777" w:rsidR="00BB0B60" w:rsidRPr="00EC4682" w:rsidRDefault="00BB0B60" w:rsidP="00EC4682">
            <w:pPr>
              <w:rPr>
                <w:b/>
              </w:rPr>
            </w:pPr>
          </w:p>
        </w:tc>
      </w:tr>
      <w:tr w:rsidR="00EC4682" w14:paraId="3CB3B69D" w14:textId="77777777" w:rsidTr="00EC4682">
        <w:tc>
          <w:tcPr>
            <w:tcW w:w="1696" w:type="dxa"/>
          </w:tcPr>
          <w:p w14:paraId="6C6E545F" w14:textId="13989C6D" w:rsidR="00EC4682" w:rsidRDefault="00EC4682" w:rsidP="00EC4682">
            <w:r>
              <w:t>Brief project summary:</w:t>
            </w:r>
          </w:p>
        </w:tc>
        <w:tc>
          <w:tcPr>
            <w:tcW w:w="7320" w:type="dxa"/>
            <w:gridSpan w:val="3"/>
          </w:tcPr>
          <w:p w14:paraId="6CE6A16C" w14:textId="77777777" w:rsidR="00EC4682" w:rsidRDefault="00EC4682" w:rsidP="00EC4682"/>
          <w:p w14:paraId="2CDFC8E5" w14:textId="3C19D2AA" w:rsidR="00083574" w:rsidRDefault="00083574" w:rsidP="00EC4682"/>
          <w:p w14:paraId="1CF347E5" w14:textId="77777777" w:rsidR="00083574" w:rsidRDefault="00083574" w:rsidP="00EC4682"/>
          <w:p w14:paraId="6FF64D0F" w14:textId="77777777" w:rsidR="00083574" w:rsidRDefault="00083574" w:rsidP="00EC4682"/>
          <w:p w14:paraId="66CB8C71" w14:textId="77777777" w:rsidR="00083574" w:rsidRDefault="00083574" w:rsidP="00EC4682"/>
          <w:p w14:paraId="5FA7A00B" w14:textId="77777777" w:rsidR="00EC4682" w:rsidRDefault="00EC4682" w:rsidP="00EC4682"/>
        </w:tc>
      </w:tr>
      <w:tr w:rsidR="00EC4682" w14:paraId="7967C3E4" w14:textId="7F4AECD9" w:rsidTr="00EC4682">
        <w:trPr>
          <w:trHeight w:val="279"/>
        </w:trPr>
        <w:tc>
          <w:tcPr>
            <w:tcW w:w="1696" w:type="dxa"/>
          </w:tcPr>
          <w:p w14:paraId="0C14149F" w14:textId="58539306" w:rsidR="00EC4682" w:rsidRPr="00EC4682" w:rsidRDefault="00EC4682" w:rsidP="00EC4682">
            <w:pPr>
              <w:rPr>
                <w:b/>
              </w:rPr>
            </w:pPr>
            <w:r>
              <w:t>Project duration:</w:t>
            </w:r>
          </w:p>
        </w:tc>
        <w:tc>
          <w:tcPr>
            <w:tcW w:w="7320" w:type="dxa"/>
            <w:gridSpan w:val="3"/>
          </w:tcPr>
          <w:p w14:paraId="786D4CDF" w14:textId="77777777" w:rsidR="00EC4682" w:rsidRPr="00EC4682" w:rsidRDefault="00EC4682" w:rsidP="00EC4682">
            <w:pPr>
              <w:rPr>
                <w:b/>
              </w:rPr>
            </w:pPr>
          </w:p>
        </w:tc>
      </w:tr>
      <w:tr w:rsidR="00EC4682" w14:paraId="76473229" w14:textId="77777777" w:rsidTr="00EC4682">
        <w:trPr>
          <w:trHeight w:val="277"/>
        </w:trPr>
        <w:tc>
          <w:tcPr>
            <w:tcW w:w="1696" w:type="dxa"/>
          </w:tcPr>
          <w:p w14:paraId="5D94623E" w14:textId="376A2208" w:rsidR="00EC4682" w:rsidRDefault="00EC4682" w:rsidP="00EC4682">
            <w:r>
              <w:t>Project Location/s:</w:t>
            </w:r>
          </w:p>
        </w:tc>
        <w:tc>
          <w:tcPr>
            <w:tcW w:w="7320" w:type="dxa"/>
            <w:gridSpan w:val="3"/>
          </w:tcPr>
          <w:p w14:paraId="39EDE3C1" w14:textId="16E1555C" w:rsidR="00EC4682" w:rsidRDefault="00EC4682" w:rsidP="00EC4682"/>
        </w:tc>
      </w:tr>
      <w:tr w:rsidR="00EC4682" w14:paraId="0233FC5A" w14:textId="77777777" w:rsidTr="000C42D8">
        <w:trPr>
          <w:trHeight w:val="277"/>
        </w:trPr>
        <w:tc>
          <w:tcPr>
            <w:tcW w:w="9016" w:type="dxa"/>
            <w:gridSpan w:val="4"/>
          </w:tcPr>
          <w:p w14:paraId="245C40F0" w14:textId="1CF51167" w:rsidR="00EC4682" w:rsidRPr="00EC4682" w:rsidRDefault="00EC4682" w:rsidP="00C80B7B">
            <w:r w:rsidRPr="00EC4682">
              <w:rPr>
                <w:b/>
              </w:rPr>
              <w:t>Ov</w:t>
            </w:r>
            <w:r>
              <w:rPr>
                <w:b/>
              </w:rPr>
              <w:t xml:space="preserve">erview of </w:t>
            </w:r>
            <w:r w:rsidR="00C80B7B">
              <w:rPr>
                <w:b/>
              </w:rPr>
              <w:t>Aboriginal and Torres Strait Islander</w:t>
            </w:r>
            <w:r>
              <w:rPr>
                <w:b/>
              </w:rPr>
              <w:t xml:space="preserve"> engagement</w:t>
            </w:r>
          </w:p>
        </w:tc>
      </w:tr>
      <w:tr w:rsidR="00EC4682" w14:paraId="7496EC8C" w14:textId="77777777" w:rsidTr="00EC4682">
        <w:trPr>
          <w:trHeight w:val="277"/>
        </w:trPr>
        <w:tc>
          <w:tcPr>
            <w:tcW w:w="1696" w:type="dxa"/>
          </w:tcPr>
          <w:p w14:paraId="18B1B546" w14:textId="455BC5E2" w:rsidR="00EC4682" w:rsidRDefault="00EC4682" w:rsidP="00EC4682">
            <w:r w:rsidRPr="00EC4682">
              <w:t xml:space="preserve">What </w:t>
            </w:r>
            <w:r>
              <w:t>is the intended outcome of EPP activities?</w:t>
            </w:r>
          </w:p>
        </w:tc>
        <w:tc>
          <w:tcPr>
            <w:tcW w:w="7320" w:type="dxa"/>
            <w:gridSpan w:val="3"/>
          </w:tcPr>
          <w:p w14:paraId="3448D6F9" w14:textId="77777777" w:rsidR="00EC4682" w:rsidRDefault="00EC4682" w:rsidP="00EC4682"/>
          <w:p w14:paraId="3C473C47" w14:textId="77777777" w:rsidR="00BB0B60" w:rsidRDefault="00BB0B60" w:rsidP="00EC4682"/>
          <w:p w14:paraId="0606917D" w14:textId="77777777" w:rsidR="00BB0B60" w:rsidRDefault="00BB0B60" w:rsidP="00EC4682"/>
          <w:p w14:paraId="0435AD4B" w14:textId="77777777" w:rsidR="00083574" w:rsidRDefault="00083574" w:rsidP="00EC4682"/>
          <w:p w14:paraId="396C7F20" w14:textId="77777777" w:rsidR="00083574" w:rsidRDefault="00083574" w:rsidP="00EC4682"/>
          <w:p w14:paraId="7E23F1C7" w14:textId="77777777" w:rsidR="00083574" w:rsidRDefault="00083574" w:rsidP="00EC4682"/>
          <w:p w14:paraId="43FF4D10" w14:textId="77777777" w:rsidR="00083574" w:rsidRDefault="00083574" w:rsidP="00EC4682"/>
          <w:p w14:paraId="3A8FD698" w14:textId="77777777" w:rsidR="00083574" w:rsidRDefault="00083574" w:rsidP="00EC4682"/>
          <w:p w14:paraId="3FC01315" w14:textId="77777777" w:rsidR="00BB0B60" w:rsidRDefault="00BB0B60" w:rsidP="00EC4682"/>
          <w:p w14:paraId="49DF6D4F" w14:textId="77777777" w:rsidR="00BB0B60" w:rsidRDefault="00BB0B60" w:rsidP="00EC4682"/>
          <w:p w14:paraId="15466671" w14:textId="77777777" w:rsidR="00BB0B60" w:rsidRDefault="00BB0B60" w:rsidP="00EC4682"/>
          <w:p w14:paraId="6295CB79" w14:textId="77777777" w:rsidR="00BB0B60" w:rsidRDefault="00BB0B60" w:rsidP="00EC4682"/>
          <w:p w14:paraId="1F64AEE9" w14:textId="453EE3B0" w:rsidR="00EC4682" w:rsidRDefault="00EC4682" w:rsidP="00EC4682"/>
        </w:tc>
      </w:tr>
      <w:tr w:rsidR="0033450C" w14:paraId="7818E0D4" w14:textId="77777777" w:rsidTr="00EC4682">
        <w:trPr>
          <w:trHeight w:val="277"/>
        </w:trPr>
        <w:tc>
          <w:tcPr>
            <w:tcW w:w="1696" w:type="dxa"/>
          </w:tcPr>
          <w:p w14:paraId="54CC3921" w14:textId="57F0C81C" w:rsidR="0033450C" w:rsidRDefault="0033450C" w:rsidP="00EC4682">
            <w:r>
              <w:t>How will the EPP activities be reported on?</w:t>
            </w:r>
          </w:p>
        </w:tc>
        <w:tc>
          <w:tcPr>
            <w:tcW w:w="7320" w:type="dxa"/>
            <w:gridSpan w:val="3"/>
          </w:tcPr>
          <w:p w14:paraId="1DC9F36F" w14:textId="77777777" w:rsidR="00BB0B60" w:rsidRDefault="00BB0B60" w:rsidP="00EC4682"/>
          <w:p w14:paraId="4924E27D" w14:textId="77777777" w:rsidR="00BB0B60" w:rsidRDefault="00BB0B60" w:rsidP="00EC4682"/>
          <w:p w14:paraId="1963A918" w14:textId="77777777" w:rsidR="00083574" w:rsidRDefault="00083574" w:rsidP="00EC4682"/>
          <w:p w14:paraId="1F5AB9D0" w14:textId="77777777" w:rsidR="00083574" w:rsidRDefault="00083574" w:rsidP="00EC4682"/>
          <w:p w14:paraId="76972DF6" w14:textId="77777777" w:rsidR="00083574" w:rsidRDefault="00083574" w:rsidP="00EC4682"/>
          <w:p w14:paraId="20CB288F" w14:textId="77777777" w:rsidR="00083574" w:rsidRDefault="00083574" w:rsidP="00EC4682"/>
          <w:p w14:paraId="72B07675" w14:textId="77777777" w:rsidR="00BB0B60" w:rsidRDefault="00BB0B60" w:rsidP="00EC4682"/>
          <w:p w14:paraId="76BD6222" w14:textId="77777777" w:rsidR="00BB0B60" w:rsidRDefault="00BB0B60" w:rsidP="00EC4682"/>
          <w:p w14:paraId="5A6AA777" w14:textId="77777777" w:rsidR="00BB0B60" w:rsidRDefault="00BB0B60" w:rsidP="00EC4682"/>
          <w:p w14:paraId="48A75679" w14:textId="77777777" w:rsidR="00BB0B60" w:rsidRDefault="00BB0B60" w:rsidP="00EC4682"/>
          <w:p w14:paraId="39B88D7E" w14:textId="77777777" w:rsidR="0033450C" w:rsidRDefault="0033450C" w:rsidP="00EC4682"/>
        </w:tc>
      </w:tr>
      <w:tr w:rsidR="00C21164" w14:paraId="6E0C0DB7" w14:textId="77777777" w:rsidTr="00C21164">
        <w:tc>
          <w:tcPr>
            <w:tcW w:w="9016" w:type="dxa"/>
            <w:gridSpan w:val="4"/>
          </w:tcPr>
          <w:p w14:paraId="68F1910C" w14:textId="5ACEA2BB" w:rsidR="00C21164" w:rsidRDefault="00DF1960" w:rsidP="00CB6AEA">
            <w:pPr>
              <w:pStyle w:val="ListParagraph"/>
              <w:numPr>
                <w:ilvl w:val="0"/>
                <w:numId w:val="19"/>
              </w:numPr>
              <w:ind w:left="171" w:hanging="171"/>
              <w:rPr>
                <w:b/>
                <w:u w:val="single"/>
              </w:rPr>
            </w:pPr>
            <w:r w:rsidRPr="007269C4">
              <w:rPr>
                <w:b/>
              </w:rPr>
              <w:lastRenderedPageBreak/>
              <w:t xml:space="preserve"> </w:t>
            </w:r>
            <w:r w:rsidR="00C21164" w:rsidRPr="007B510A">
              <w:rPr>
                <w:b/>
                <w:u w:val="single"/>
              </w:rPr>
              <w:t>Community consultation and collaboration</w:t>
            </w:r>
          </w:p>
          <w:p w14:paraId="04B6A607" w14:textId="46C1C69E" w:rsidR="00CB6AEA" w:rsidRPr="00CB6AEA" w:rsidRDefault="00CB6AEA" w:rsidP="00CB6AEA">
            <w:pPr>
              <w:rPr>
                <w:b/>
              </w:rPr>
            </w:pPr>
            <w:r w:rsidRPr="00CB6AEA">
              <w:t xml:space="preserve">This section of your plan should describe how you will engage with </w:t>
            </w:r>
            <w:r w:rsidR="00DA7CED" w:rsidRPr="00DA7CED">
              <w:t>Aboriginal and Torres Strait Islander</w:t>
            </w:r>
            <w:r w:rsidRPr="00CB6AEA">
              <w:t xml:space="preserve"> stakeholders, identify community aspirations and determine how these can be supported throughout the project.</w:t>
            </w:r>
          </w:p>
        </w:tc>
      </w:tr>
      <w:tr w:rsidR="00EF790A" w14:paraId="2450E8A1" w14:textId="77777777" w:rsidTr="00EF790A">
        <w:trPr>
          <w:trHeight w:val="495"/>
        </w:trPr>
        <w:tc>
          <w:tcPr>
            <w:tcW w:w="2801" w:type="dxa"/>
            <w:gridSpan w:val="2"/>
          </w:tcPr>
          <w:p w14:paraId="52AE8637" w14:textId="77777777" w:rsidR="005450A0" w:rsidRDefault="00EF790A" w:rsidP="0096374F">
            <w:r>
              <w:t>Engagement activities</w:t>
            </w:r>
          </w:p>
          <w:p w14:paraId="5F772801" w14:textId="30C0A653" w:rsidR="00EF790A" w:rsidRPr="00C21164" w:rsidRDefault="00EF790A" w:rsidP="0096374F">
            <w:r>
              <w:t xml:space="preserve">(list and provide some detail and explanation) </w:t>
            </w:r>
          </w:p>
        </w:tc>
        <w:tc>
          <w:tcPr>
            <w:tcW w:w="3148" w:type="dxa"/>
          </w:tcPr>
          <w:p w14:paraId="63702988" w14:textId="43945C49" w:rsidR="00EF790A" w:rsidRDefault="00EF790A" w:rsidP="00C21164">
            <w:r>
              <w:t xml:space="preserve">Expected Impact and measures </w:t>
            </w:r>
            <w:r w:rsidR="003D6F9D">
              <w:t>of</w:t>
            </w:r>
            <w:r>
              <w:t xml:space="preserve"> success (including timeframes)</w:t>
            </w:r>
          </w:p>
        </w:tc>
        <w:tc>
          <w:tcPr>
            <w:tcW w:w="3067" w:type="dxa"/>
          </w:tcPr>
          <w:p w14:paraId="79469862" w14:textId="7C00216E" w:rsidR="00EF790A" w:rsidRDefault="00EF790A" w:rsidP="0096374F">
            <w:r>
              <w:t>Justification and evidence</w:t>
            </w:r>
            <w:r w:rsidR="00496A98">
              <w:t xml:space="preserve"> (Consultation and research)</w:t>
            </w:r>
          </w:p>
        </w:tc>
      </w:tr>
      <w:tr w:rsidR="00EF790A" w14:paraId="7878F8A2" w14:textId="77777777" w:rsidTr="00D45338">
        <w:trPr>
          <w:trHeight w:val="3392"/>
        </w:trPr>
        <w:tc>
          <w:tcPr>
            <w:tcW w:w="2801" w:type="dxa"/>
            <w:gridSpan w:val="2"/>
          </w:tcPr>
          <w:p w14:paraId="4EF93A3C" w14:textId="3FB983F5" w:rsidR="00EF790A" w:rsidRPr="0096374F" w:rsidRDefault="00EF790A" w:rsidP="0096374F">
            <w:pPr>
              <w:rPr>
                <w:i/>
              </w:rPr>
            </w:pPr>
          </w:p>
        </w:tc>
        <w:tc>
          <w:tcPr>
            <w:tcW w:w="3148" w:type="dxa"/>
          </w:tcPr>
          <w:p w14:paraId="25ACE7E8" w14:textId="77777777" w:rsidR="00EF790A" w:rsidRDefault="00EF790A" w:rsidP="0096374F"/>
          <w:p w14:paraId="75496959" w14:textId="77777777" w:rsidR="006272A6" w:rsidRDefault="006272A6" w:rsidP="0096374F"/>
          <w:p w14:paraId="22743A86" w14:textId="77777777" w:rsidR="006272A6" w:rsidRDefault="006272A6" w:rsidP="0096374F"/>
          <w:p w14:paraId="763D7C83" w14:textId="77777777" w:rsidR="006272A6" w:rsidRDefault="006272A6" w:rsidP="0096374F"/>
          <w:p w14:paraId="2FDE9178" w14:textId="77777777" w:rsidR="006272A6" w:rsidRDefault="006272A6" w:rsidP="0096374F"/>
          <w:p w14:paraId="087F8762" w14:textId="77777777" w:rsidR="006272A6" w:rsidRDefault="006272A6" w:rsidP="0096374F"/>
          <w:p w14:paraId="1F796576" w14:textId="77777777" w:rsidR="006272A6" w:rsidRDefault="006272A6" w:rsidP="0096374F"/>
          <w:p w14:paraId="0F3635D0" w14:textId="77777777" w:rsidR="006272A6" w:rsidRDefault="006272A6" w:rsidP="0096374F"/>
          <w:p w14:paraId="2DBB2D27" w14:textId="77777777" w:rsidR="006272A6" w:rsidRDefault="006272A6" w:rsidP="0096374F"/>
          <w:p w14:paraId="00BFFAAD" w14:textId="77777777" w:rsidR="006272A6" w:rsidRDefault="006272A6" w:rsidP="0096374F"/>
          <w:p w14:paraId="60007997" w14:textId="77777777" w:rsidR="006272A6" w:rsidRDefault="006272A6" w:rsidP="0096374F"/>
          <w:p w14:paraId="0D457F49" w14:textId="77777777" w:rsidR="006272A6" w:rsidRDefault="006272A6" w:rsidP="0096374F"/>
          <w:p w14:paraId="3E30C1E7" w14:textId="77777777" w:rsidR="006272A6" w:rsidRDefault="006272A6" w:rsidP="0096374F"/>
          <w:p w14:paraId="6F8B7F1A" w14:textId="77777777" w:rsidR="006272A6" w:rsidRDefault="006272A6" w:rsidP="0096374F"/>
          <w:p w14:paraId="5597ED86" w14:textId="77777777" w:rsidR="006272A6" w:rsidRDefault="006272A6" w:rsidP="0096374F"/>
          <w:p w14:paraId="408008DE" w14:textId="77777777" w:rsidR="006272A6" w:rsidRDefault="006272A6" w:rsidP="0096374F"/>
          <w:p w14:paraId="0AE108AA" w14:textId="77777777" w:rsidR="006272A6" w:rsidRDefault="006272A6" w:rsidP="0096374F"/>
          <w:p w14:paraId="276694F2" w14:textId="5FF5DD73" w:rsidR="00EF790A" w:rsidRDefault="00EF790A" w:rsidP="0096374F"/>
        </w:tc>
        <w:tc>
          <w:tcPr>
            <w:tcW w:w="3067" w:type="dxa"/>
          </w:tcPr>
          <w:p w14:paraId="4A3BF028" w14:textId="77777777" w:rsidR="00EF790A" w:rsidRDefault="00EF790A" w:rsidP="0096374F"/>
        </w:tc>
      </w:tr>
      <w:tr w:rsidR="00C21164" w14:paraId="64C7D2DF" w14:textId="77777777" w:rsidTr="00C21164">
        <w:tc>
          <w:tcPr>
            <w:tcW w:w="9016" w:type="dxa"/>
            <w:gridSpan w:val="4"/>
          </w:tcPr>
          <w:p w14:paraId="4AA78470" w14:textId="68F3FF5E" w:rsidR="00C21164" w:rsidRDefault="00DF1960" w:rsidP="00CB6AEA">
            <w:pPr>
              <w:pStyle w:val="ListParagraph"/>
              <w:numPr>
                <w:ilvl w:val="0"/>
                <w:numId w:val="19"/>
              </w:numPr>
              <w:ind w:left="171" w:hanging="171"/>
              <w:rPr>
                <w:b/>
                <w:u w:val="single"/>
              </w:rPr>
            </w:pPr>
            <w:r w:rsidRPr="007269C4">
              <w:rPr>
                <w:b/>
              </w:rPr>
              <w:t xml:space="preserve"> </w:t>
            </w:r>
            <w:r w:rsidR="00C21164" w:rsidRPr="007B510A">
              <w:rPr>
                <w:b/>
                <w:u w:val="single"/>
              </w:rPr>
              <w:t>Employment</w:t>
            </w:r>
          </w:p>
          <w:p w14:paraId="6C28656C" w14:textId="01B54C6E" w:rsidR="00CB6AEA" w:rsidRPr="00CB6AEA" w:rsidRDefault="00CB6AEA" w:rsidP="00CB6AEA">
            <w:pPr>
              <w:rPr>
                <w:b/>
                <w:u w:val="single"/>
              </w:rPr>
            </w:pPr>
            <w:r w:rsidRPr="00CB6AEA">
              <w:t xml:space="preserve">This section should detail the applicant’s existing </w:t>
            </w:r>
            <w:r w:rsidR="00103B0B">
              <w:t>Aboriginal and Torres Strait Islander</w:t>
            </w:r>
            <w:r w:rsidRPr="00CB6AEA">
              <w:t xml:space="preserve"> workforce initiatives, as well as opportunities and pathways for increasing </w:t>
            </w:r>
            <w:r w:rsidR="00103B0B" w:rsidRPr="00103B0B">
              <w:t>Aboriginal and Torres Strait Islander</w:t>
            </w:r>
            <w:r w:rsidRPr="00CB6AEA">
              <w:t xml:space="preserve"> employment at each stage of the project. It could include setting </w:t>
            </w:r>
            <w:r w:rsidR="00103B0B" w:rsidRPr="00103B0B">
              <w:t>Aboriginal and Torres Strait Islander</w:t>
            </w:r>
            <w:r w:rsidRPr="00CB6AEA">
              <w:t xml:space="preserve"> workforce participation targets.</w:t>
            </w:r>
          </w:p>
        </w:tc>
      </w:tr>
      <w:tr w:rsidR="00EF790A" w14:paraId="39543CDE" w14:textId="77777777" w:rsidTr="00EF790A">
        <w:trPr>
          <w:trHeight w:val="20"/>
        </w:trPr>
        <w:tc>
          <w:tcPr>
            <w:tcW w:w="2801" w:type="dxa"/>
            <w:gridSpan w:val="2"/>
          </w:tcPr>
          <w:p w14:paraId="60F1B1EA" w14:textId="1761E8DE" w:rsidR="00EF790A" w:rsidRDefault="00EF790A" w:rsidP="00EF790A">
            <w:r>
              <w:t xml:space="preserve">Engagement activities (list and provide some detail and explanation) </w:t>
            </w:r>
          </w:p>
        </w:tc>
        <w:tc>
          <w:tcPr>
            <w:tcW w:w="3148" w:type="dxa"/>
          </w:tcPr>
          <w:p w14:paraId="525A5423" w14:textId="15A64564" w:rsidR="00EF790A" w:rsidRDefault="00EF790A" w:rsidP="00EF790A">
            <w:r>
              <w:t xml:space="preserve">Expected Impact and measures </w:t>
            </w:r>
            <w:r w:rsidR="003D6F9D">
              <w:t>of</w:t>
            </w:r>
            <w:r>
              <w:t xml:space="preserve"> success (including timeframes)</w:t>
            </w:r>
          </w:p>
        </w:tc>
        <w:tc>
          <w:tcPr>
            <w:tcW w:w="3067" w:type="dxa"/>
          </w:tcPr>
          <w:p w14:paraId="33435658" w14:textId="60041336" w:rsidR="00EF790A" w:rsidRDefault="00EF790A" w:rsidP="00EF790A">
            <w:r>
              <w:t>Justification and evidence</w:t>
            </w:r>
          </w:p>
        </w:tc>
      </w:tr>
      <w:tr w:rsidR="00EF790A" w14:paraId="4F039D1D" w14:textId="77777777" w:rsidTr="008D1CC2">
        <w:trPr>
          <w:trHeight w:val="5102"/>
        </w:trPr>
        <w:tc>
          <w:tcPr>
            <w:tcW w:w="2801" w:type="dxa"/>
            <w:gridSpan w:val="2"/>
          </w:tcPr>
          <w:p w14:paraId="1233ADAA" w14:textId="77777777" w:rsidR="00EF790A" w:rsidRDefault="00EF790A" w:rsidP="0096374F"/>
          <w:p w14:paraId="4DA5D52E" w14:textId="77777777" w:rsidR="00897C97" w:rsidRDefault="00897C97" w:rsidP="0096374F"/>
          <w:p w14:paraId="2C244327" w14:textId="77777777" w:rsidR="00897C97" w:rsidRDefault="00897C97" w:rsidP="0096374F"/>
          <w:p w14:paraId="1FF75D23" w14:textId="77777777" w:rsidR="00897C97" w:rsidRDefault="00897C97" w:rsidP="0096374F"/>
          <w:p w14:paraId="6FBCC933" w14:textId="77777777" w:rsidR="00897C97" w:rsidRDefault="00897C97" w:rsidP="0096374F"/>
          <w:p w14:paraId="387FA04A" w14:textId="77777777" w:rsidR="00897C97" w:rsidRDefault="00897C97" w:rsidP="0096374F"/>
          <w:p w14:paraId="13350CFA" w14:textId="77777777" w:rsidR="00897C97" w:rsidRDefault="00897C97" w:rsidP="0096374F"/>
          <w:p w14:paraId="753FA158" w14:textId="77777777" w:rsidR="00897C97" w:rsidRDefault="00897C97" w:rsidP="0096374F"/>
          <w:p w14:paraId="251D9499" w14:textId="77777777" w:rsidR="00897C97" w:rsidRDefault="00897C97" w:rsidP="0096374F"/>
          <w:p w14:paraId="7ADA6D26" w14:textId="77777777" w:rsidR="00897C97" w:rsidRDefault="00897C97" w:rsidP="0096374F"/>
          <w:p w14:paraId="289A3428" w14:textId="77777777" w:rsidR="00897C97" w:rsidRDefault="00897C97" w:rsidP="0096374F"/>
          <w:p w14:paraId="3ECFA4FE" w14:textId="77777777" w:rsidR="00897C97" w:rsidRDefault="00897C97" w:rsidP="0096374F"/>
          <w:p w14:paraId="3EF98289" w14:textId="77777777" w:rsidR="00897C97" w:rsidRDefault="00897C97" w:rsidP="0096374F"/>
          <w:p w14:paraId="05118895" w14:textId="77777777" w:rsidR="00897C97" w:rsidRDefault="00897C97" w:rsidP="0096374F"/>
          <w:p w14:paraId="0CB16232" w14:textId="77777777" w:rsidR="00897C97" w:rsidRDefault="00897C97" w:rsidP="0096374F"/>
          <w:p w14:paraId="0C10D622" w14:textId="77777777" w:rsidR="00897C97" w:rsidRDefault="00897C97" w:rsidP="0096374F"/>
          <w:p w14:paraId="7CF39224" w14:textId="77777777" w:rsidR="00897C97" w:rsidRDefault="00897C97" w:rsidP="0096374F"/>
          <w:p w14:paraId="273A6D56" w14:textId="77777777" w:rsidR="00897C97" w:rsidRDefault="00897C97" w:rsidP="0096374F"/>
          <w:p w14:paraId="6FAFF4C0" w14:textId="0630FA1A" w:rsidR="00EF790A" w:rsidRDefault="00EF790A" w:rsidP="0096374F"/>
        </w:tc>
        <w:tc>
          <w:tcPr>
            <w:tcW w:w="3148" w:type="dxa"/>
          </w:tcPr>
          <w:p w14:paraId="60CC4058" w14:textId="77777777" w:rsidR="00EF790A" w:rsidRDefault="00EF790A" w:rsidP="0096374F"/>
        </w:tc>
        <w:tc>
          <w:tcPr>
            <w:tcW w:w="3067" w:type="dxa"/>
          </w:tcPr>
          <w:p w14:paraId="4C4D5D5D" w14:textId="77777777" w:rsidR="00EF790A" w:rsidRDefault="00EF790A" w:rsidP="0096374F"/>
        </w:tc>
      </w:tr>
      <w:tr w:rsidR="00C21164" w14:paraId="5367F51D" w14:textId="77777777" w:rsidTr="00C21164">
        <w:tc>
          <w:tcPr>
            <w:tcW w:w="9016" w:type="dxa"/>
            <w:gridSpan w:val="4"/>
          </w:tcPr>
          <w:p w14:paraId="1A86AA3B" w14:textId="0855AC1A" w:rsidR="00C21164" w:rsidRDefault="00DF1960" w:rsidP="00CB6AEA">
            <w:pPr>
              <w:pStyle w:val="ListParagraph"/>
              <w:numPr>
                <w:ilvl w:val="0"/>
                <w:numId w:val="19"/>
              </w:numPr>
              <w:ind w:left="171" w:hanging="171"/>
              <w:rPr>
                <w:b/>
                <w:u w:val="single"/>
              </w:rPr>
            </w:pPr>
            <w:r w:rsidRPr="007269C4">
              <w:rPr>
                <w:b/>
              </w:rPr>
              <w:lastRenderedPageBreak/>
              <w:t xml:space="preserve"> </w:t>
            </w:r>
            <w:r w:rsidR="00C21164" w:rsidRPr="007B510A">
              <w:rPr>
                <w:b/>
                <w:u w:val="single"/>
              </w:rPr>
              <w:t>Procurement</w:t>
            </w:r>
          </w:p>
          <w:p w14:paraId="56C4B531" w14:textId="6A9F3CE5" w:rsidR="00CB6AEA" w:rsidRPr="00CB6AEA" w:rsidRDefault="00CB6AEA" w:rsidP="00CB6AEA">
            <w:pPr>
              <w:rPr>
                <w:b/>
                <w:u w:val="single"/>
              </w:rPr>
            </w:pPr>
            <w:r w:rsidRPr="00CB6AEA">
              <w:t xml:space="preserve">This section should detail the applicant’s existing </w:t>
            </w:r>
            <w:r w:rsidR="00103B0B" w:rsidRPr="00103B0B">
              <w:t>Aboriginal and Torres Strait Islander</w:t>
            </w:r>
            <w:r w:rsidRPr="00CB6AEA">
              <w:t xml:space="preserve"> supply use as well as its strategy for increasing engagement and contracting with </w:t>
            </w:r>
            <w:r w:rsidR="00103B0B" w:rsidRPr="00103B0B">
              <w:t>Aboriginal and Torres Strait Islander</w:t>
            </w:r>
            <w:r w:rsidRPr="00CB6AEA">
              <w:t xml:space="preserve"> businesses, including the adoption of procurement targets.  </w:t>
            </w:r>
          </w:p>
        </w:tc>
      </w:tr>
      <w:tr w:rsidR="00EF790A" w14:paraId="46C76F7F" w14:textId="77777777" w:rsidTr="00EF790A">
        <w:trPr>
          <w:trHeight w:val="20"/>
        </w:trPr>
        <w:tc>
          <w:tcPr>
            <w:tcW w:w="2801" w:type="dxa"/>
            <w:gridSpan w:val="2"/>
          </w:tcPr>
          <w:p w14:paraId="56332AFB" w14:textId="5B4B688B" w:rsidR="00EF790A" w:rsidRDefault="00EF790A" w:rsidP="00EF790A">
            <w:r>
              <w:t xml:space="preserve">Engagement activities (list and provide some detail and explanation) </w:t>
            </w:r>
          </w:p>
        </w:tc>
        <w:tc>
          <w:tcPr>
            <w:tcW w:w="3148" w:type="dxa"/>
          </w:tcPr>
          <w:p w14:paraId="25F06A57" w14:textId="33397A13" w:rsidR="00EF790A" w:rsidRDefault="00EF790A" w:rsidP="00EF790A">
            <w:r>
              <w:t xml:space="preserve">Expected Impact and measures </w:t>
            </w:r>
            <w:r w:rsidR="003D6F9D">
              <w:t>o</w:t>
            </w:r>
            <w:r w:rsidR="00FE6589">
              <w:t>f</w:t>
            </w:r>
            <w:r>
              <w:t xml:space="preserve"> success (including timeframes)</w:t>
            </w:r>
          </w:p>
        </w:tc>
        <w:tc>
          <w:tcPr>
            <w:tcW w:w="3067" w:type="dxa"/>
          </w:tcPr>
          <w:p w14:paraId="0404CA09" w14:textId="735D3F1E" w:rsidR="00EF790A" w:rsidRDefault="00EF790A" w:rsidP="00EF790A">
            <w:r>
              <w:t>Justification and evidence</w:t>
            </w:r>
          </w:p>
        </w:tc>
      </w:tr>
      <w:tr w:rsidR="00EF790A" w14:paraId="6552A438" w14:textId="77777777" w:rsidTr="002D533B">
        <w:trPr>
          <w:trHeight w:val="4810"/>
        </w:trPr>
        <w:tc>
          <w:tcPr>
            <w:tcW w:w="2801" w:type="dxa"/>
            <w:gridSpan w:val="2"/>
          </w:tcPr>
          <w:p w14:paraId="1D7EAA46" w14:textId="202928FE" w:rsidR="00EF790A" w:rsidRDefault="00EF790A" w:rsidP="0096374F"/>
        </w:tc>
        <w:tc>
          <w:tcPr>
            <w:tcW w:w="3148" w:type="dxa"/>
          </w:tcPr>
          <w:p w14:paraId="134A4383" w14:textId="77777777" w:rsidR="00EF790A" w:rsidRDefault="00EF790A" w:rsidP="0096374F"/>
        </w:tc>
        <w:tc>
          <w:tcPr>
            <w:tcW w:w="3067" w:type="dxa"/>
          </w:tcPr>
          <w:p w14:paraId="5B6FC8AF" w14:textId="77777777" w:rsidR="00A63611" w:rsidRDefault="00A63611" w:rsidP="0096374F"/>
          <w:p w14:paraId="4ED4D21B" w14:textId="77777777" w:rsidR="00A63611" w:rsidRPr="00A63611" w:rsidRDefault="00A63611" w:rsidP="00A63611"/>
          <w:p w14:paraId="25C59554" w14:textId="77777777" w:rsidR="00A63611" w:rsidRPr="00A63611" w:rsidRDefault="00A63611" w:rsidP="00A63611"/>
          <w:p w14:paraId="6C0CC260" w14:textId="77777777" w:rsidR="00A63611" w:rsidRPr="00A63611" w:rsidRDefault="00A63611" w:rsidP="00A63611"/>
          <w:p w14:paraId="0138995E" w14:textId="77777777" w:rsidR="00A63611" w:rsidRPr="00A63611" w:rsidRDefault="00A63611" w:rsidP="00A63611"/>
          <w:p w14:paraId="53A20BB8" w14:textId="77777777" w:rsidR="00A63611" w:rsidRPr="00A63611" w:rsidRDefault="00A63611" w:rsidP="00A63611"/>
          <w:p w14:paraId="7B9C5A35" w14:textId="77777777" w:rsidR="00A63611" w:rsidRPr="00A63611" w:rsidRDefault="00A63611" w:rsidP="00A63611"/>
          <w:p w14:paraId="2DCBE73D" w14:textId="77777777" w:rsidR="00A63611" w:rsidRPr="00A63611" w:rsidRDefault="00A63611" w:rsidP="00A63611"/>
          <w:p w14:paraId="0A1CFC4F" w14:textId="77777777" w:rsidR="00A63611" w:rsidRPr="00A63611" w:rsidRDefault="00A63611" w:rsidP="00A63611"/>
          <w:p w14:paraId="73B4B496" w14:textId="77777777" w:rsidR="00A63611" w:rsidRPr="00A63611" w:rsidRDefault="00A63611" w:rsidP="00A63611"/>
          <w:p w14:paraId="47442773" w14:textId="77777777" w:rsidR="00A63611" w:rsidRPr="00A63611" w:rsidRDefault="00A63611" w:rsidP="00A63611"/>
          <w:p w14:paraId="7E1BAF6C" w14:textId="1CAA3DC6" w:rsidR="00A63611" w:rsidRDefault="00A63611" w:rsidP="00A63611"/>
          <w:p w14:paraId="14E206FC" w14:textId="77777777" w:rsidR="00A63611" w:rsidRPr="00A63611" w:rsidRDefault="00A63611" w:rsidP="00A63611"/>
          <w:p w14:paraId="38A9A093" w14:textId="77777777" w:rsidR="00A63611" w:rsidRPr="00A63611" w:rsidRDefault="00A63611" w:rsidP="00A63611"/>
          <w:p w14:paraId="3D1D31B2" w14:textId="77777777" w:rsidR="00A63611" w:rsidRPr="00A63611" w:rsidRDefault="00A63611" w:rsidP="00A63611"/>
          <w:p w14:paraId="4A1083FC" w14:textId="24084A37" w:rsidR="00A63611" w:rsidRDefault="00A63611" w:rsidP="00A63611"/>
          <w:p w14:paraId="51EFCC0D" w14:textId="77777777" w:rsidR="00A63611" w:rsidRPr="00A63611" w:rsidRDefault="00A63611" w:rsidP="00A63611"/>
          <w:p w14:paraId="6D13DD92" w14:textId="2E280FB8" w:rsidR="00EF790A" w:rsidRPr="00A63611" w:rsidRDefault="00EF790A" w:rsidP="0096374F"/>
        </w:tc>
      </w:tr>
      <w:tr w:rsidR="00C21164" w14:paraId="0A39725F" w14:textId="77777777" w:rsidTr="00C21164">
        <w:tc>
          <w:tcPr>
            <w:tcW w:w="9016" w:type="dxa"/>
            <w:gridSpan w:val="4"/>
          </w:tcPr>
          <w:p w14:paraId="0F6FC0CF" w14:textId="3BFDC294" w:rsidR="00C21164" w:rsidRPr="00CB6AEA" w:rsidRDefault="00DF1960" w:rsidP="00CB6AEA">
            <w:pPr>
              <w:pStyle w:val="ListParagraph"/>
              <w:numPr>
                <w:ilvl w:val="0"/>
                <w:numId w:val="19"/>
              </w:numPr>
              <w:ind w:left="171" w:hanging="171"/>
            </w:pPr>
            <w:r w:rsidRPr="007269C4">
              <w:rPr>
                <w:b/>
              </w:rPr>
              <w:t xml:space="preserve"> </w:t>
            </w:r>
            <w:r w:rsidR="00C21164" w:rsidRPr="007B510A">
              <w:rPr>
                <w:b/>
                <w:u w:val="single"/>
              </w:rPr>
              <w:t>Other</w:t>
            </w:r>
          </w:p>
          <w:p w14:paraId="72964747" w14:textId="6CBC7720" w:rsidR="00CB6AEA" w:rsidRDefault="00CB6AEA" w:rsidP="00CB6AEA">
            <w:r w:rsidRPr="00CB6AEA">
              <w:t xml:space="preserve">This section should detail other key actions where applicable, include the identification of cultural heritage issues and </w:t>
            </w:r>
            <w:r w:rsidR="00103B0B" w:rsidRPr="00103B0B">
              <w:t>Aboriginal and Torres Strait Islander</w:t>
            </w:r>
            <w:r w:rsidRPr="00CB6AEA">
              <w:t xml:space="preserve"> inclusion in planning for environmental protection activities.</w:t>
            </w:r>
          </w:p>
        </w:tc>
      </w:tr>
      <w:tr w:rsidR="00EF790A" w14:paraId="6C599DD0" w14:textId="77777777" w:rsidTr="00EF790A">
        <w:trPr>
          <w:trHeight w:val="20"/>
        </w:trPr>
        <w:tc>
          <w:tcPr>
            <w:tcW w:w="2801" w:type="dxa"/>
            <w:gridSpan w:val="2"/>
          </w:tcPr>
          <w:p w14:paraId="6C9AB7B4" w14:textId="2C44D902" w:rsidR="00EF790A" w:rsidRPr="00C21164" w:rsidRDefault="00EF790A" w:rsidP="00EF790A">
            <w:r>
              <w:t xml:space="preserve">Engagement activities (list and provide some detail and explanation) </w:t>
            </w:r>
          </w:p>
        </w:tc>
        <w:tc>
          <w:tcPr>
            <w:tcW w:w="3148" w:type="dxa"/>
          </w:tcPr>
          <w:p w14:paraId="50071D3C" w14:textId="2CF16DC5" w:rsidR="00EF790A" w:rsidRDefault="00EF790A" w:rsidP="00EF790A">
            <w:r>
              <w:t xml:space="preserve">Expected Impact and measures </w:t>
            </w:r>
            <w:r w:rsidR="003D6F9D">
              <w:t>o</w:t>
            </w:r>
            <w:r w:rsidR="00FE6589">
              <w:t>f</w:t>
            </w:r>
            <w:r>
              <w:t xml:space="preserve"> success (including timeframes)</w:t>
            </w:r>
          </w:p>
        </w:tc>
        <w:tc>
          <w:tcPr>
            <w:tcW w:w="3067" w:type="dxa"/>
          </w:tcPr>
          <w:p w14:paraId="06866191" w14:textId="1184BC9F" w:rsidR="00EF790A" w:rsidRDefault="00EF790A" w:rsidP="00EF790A">
            <w:r>
              <w:t>Justification and evidence</w:t>
            </w:r>
          </w:p>
        </w:tc>
      </w:tr>
      <w:tr w:rsidR="00EF790A" w14:paraId="6A7786C3" w14:textId="77777777" w:rsidTr="008D1CC2">
        <w:trPr>
          <w:trHeight w:val="5102"/>
        </w:trPr>
        <w:tc>
          <w:tcPr>
            <w:tcW w:w="2801" w:type="dxa"/>
            <w:gridSpan w:val="2"/>
          </w:tcPr>
          <w:p w14:paraId="1BB94746" w14:textId="03E00A3B" w:rsidR="00EF790A" w:rsidRDefault="00EF790A" w:rsidP="0096374F"/>
        </w:tc>
        <w:tc>
          <w:tcPr>
            <w:tcW w:w="3148" w:type="dxa"/>
          </w:tcPr>
          <w:p w14:paraId="016A3464" w14:textId="0EA8C2B9" w:rsidR="00EF790A" w:rsidRDefault="00EF790A" w:rsidP="0096374F"/>
        </w:tc>
        <w:tc>
          <w:tcPr>
            <w:tcW w:w="3067" w:type="dxa"/>
          </w:tcPr>
          <w:p w14:paraId="2DEFFADC" w14:textId="77777777" w:rsidR="00EF790A" w:rsidRDefault="00EF790A" w:rsidP="0096374F"/>
        </w:tc>
      </w:tr>
    </w:tbl>
    <w:p w14:paraId="1D53192A" w14:textId="77777777" w:rsidR="00055696" w:rsidRDefault="00055696" w:rsidP="00FE6589">
      <w:pPr>
        <w:pStyle w:val="Heading2"/>
        <w:rPr>
          <w:rFonts w:asciiTheme="minorHAnsi" w:eastAsia="Calibri" w:hAnsiTheme="minorHAnsi" w:cstheme="minorHAnsi"/>
        </w:rPr>
        <w:sectPr w:rsidR="00055696" w:rsidSect="00F535C7">
          <w:footerReference w:type="default" r:id="rId38"/>
          <w:footerReference w:type="first" r:id="rId39"/>
          <w:pgSz w:w="11906" w:h="16838"/>
          <w:pgMar w:top="1440" w:right="1440" w:bottom="1135" w:left="1440" w:header="708" w:footer="708" w:gutter="0"/>
          <w:cols w:space="708"/>
          <w:titlePg/>
          <w:docGrid w:linePitch="360"/>
        </w:sectPr>
      </w:pPr>
    </w:p>
    <w:p w14:paraId="0476EA70" w14:textId="31FAFC86" w:rsidR="00FE6589" w:rsidRPr="00230762" w:rsidRDefault="00FE6589" w:rsidP="00FE6589">
      <w:pPr>
        <w:pStyle w:val="Heading2"/>
        <w:rPr>
          <w:rFonts w:asciiTheme="minorHAnsi" w:eastAsia="Calibri" w:hAnsiTheme="minorHAnsi" w:cstheme="minorHAnsi"/>
        </w:rPr>
      </w:pPr>
      <w:r w:rsidRPr="00230762">
        <w:rPr>
          <w:rFonts w:asciiTheme="minorHAnsi" w:eastAsia="Calibri" w:hAnsiTheme="minorHAnsi" w:cstheme="minorHAnsi"/>
        </w:rPr>
        <w:lastRenderedPageBreak/>
        <w:t xml:space="preserve">Attachment A: Using ABS Census data to generate </w:t>
      </w:r>
      <w:r w:rsidR="008A03FB">
        <w:rPr>
          <w:rFonts w:asciiTheme="minorHAnsi" w:eastAsia="Calibri" w:hAnsiTheme="minorHAnsi" w:cstheme="minorHAnsi"/>
        </w:rPr>
        <w:t xml:space="preserve">employment and procurement </w:t>
      </w:r>
      <w:r w:rsidRPr="00230762">
        <w:rPr>
          <w:rFonts w:asciiTheme="minorHAnsi" w:eastAsia="Calibri" w:hAnsiTheme="minorHAnsi" w:cstheme="minorHAnsi"/>
        </w:rPr>
        <w:t xml:space="preserve">targets </w:t>
      </w:r>
    </w:p>
    <w:p w14:paraId="610C6DFA" w14:textId="77777777" w:rsidR="00FE6589" w:rsidRPr="00FE6589" w:rsidRDefault="00FE6589" w:rsidP="00FE6589">
      <w:pPr>
        <w:rPr>
          <w:rFonts w:ascii="Calibri" w:eastAsia="Calibri" w:hAnsi="Calibri" w:cs="Times New Roman"/>
        </w:rPr>
      </w:pPr>
      <w:r w:rsidRPr="00FE6589">
        <w:rPr>
          <w:rFonts w:ascii="Calibri" w:eastAsia="Calibri" w:hAnsi="Calibri" w:cs="Times New Roman"/>
        </w:rPr>
        <w:t>To locate the relevant Local Government Area (LGA) go to:</w:t>
      </w:r>
    </w:p>
    <w:p w14:paraId="34E3FEDD" w14:textId="77777777" w:rsidR="00FE6589" w:rsidRPr="00FE6589" w:rsidRDefault="00FD2266" w:rsidP="00FE6589">
      <w:pPr>
        <w:rPr>
          <w:rFonts w:ascii="Calibri" w:eastAsia="Calibri" w:hAnsi="Calibri" w:cs="Times New Roman"/>
        </w:rPr>
      </w:pPr>
      <w:hyperlink r:id="rId40" w:history="1">
        <w:r w:rsidR="00FE6589" w:rsidRPr="00FE6589">
          <w:rPr>
            <w:rFonts w:ascii="Calibri" w:eastAsia="Calibri" w:hAnsi="Calibri" w:cs="Times New Roman"/>
            <w:color w:val="0563C1"/>
            <w:u w:val="single"/>
          </w:rPr>
          <w:t>https://www.abs.gov.au/websitedbs/D3310114.nsf/Home/2016%20search%20by%20geography</w:t>
        </w:r>
      </w:hyperlink>
    </w:p>
    <w:p w14:paraId="29B54578" w14:textId="77777777" w:rsidR="00FE6589" w:rsidRPr="00FE6589" w:rsidRDefault="00FE6589" w:rsidP="00FE6589">
      <w:pPr>
        <w:rPr>
          <w:rFonts w:ascii="Calibri" w:eastAsia="Calibri" w:hAnsi="Calibri" w:cs="Times New Roman"/>
        </w:rPr>
      </w:pPr>
      <w:r w:rsidRPr="00FE6589">
        <w:rPr>
          <w:rFonts w:ascii="Calibri" w:eastAsia="Calibri" w:hAnsi="Calibri" w:cs="Times New Roman"/>
        </w:rPr>
        <w:t>At the top right hand corner of the Australia map select Local Government Areas from the drop down list.</w:t>
      </w:r>
    </w:p>
    <w:p w14:paraId="2A36D6A0" w14:textId="77777777" w:rsidR="00FE6589" w:rsidRPr="00FE6589" w:rsidRDefault="00FE6589" w:rsidP="00FE6589">
      <w:pPr>
        <w:rPr>
          <w:rFonts w:ascii="Calibri" w:eastAsia="Calibri" w:hAnsi="Calibri" w:cs="Times New Roman"/>
        </w:rPr>
      </w:pPr>
      <w:r w:rsidRPr="00FE6589">
        <w:rPr>
          <w:rFonts w:ascii="Calibri" w:eastAsia="Calibri" w:hAnsi="Calibri" w:cs="Times New Roman"/>
        </w:rPr>
        <w:t xml:space="preserve">Put the name of the LGA where the project is located into the </w:t>
      </w:r>
      <w:proofErr w:type="spellStart"/>
      <w:r w:rsidRPr="00FE6589">
        <w:rPr>
          <w:rFonts w:ascii="Calibri" w:eastAsia="Calibri" w:hAnsi="Calibri" w:cs="Times New Roman"/>
          <w:b/>
        </w:rPr>
        <w:t>TextSearch</w:t>
      </w:r>
      <w:proofErr w:type="spellEnd"/>
      <w:r w:rsidRPr="00FE6589">
        <w:rPr>
          <w:rFonts w:ascii="Calibri" w:eastAsia="Calibri" w:hAnsi="Calibri" w:cs="Times New Roman"/>
        </w:rPr>
        <w:t xml:space="preserve"> box at the lower left hand side of the page.</w:t>
      </w:r>
    </w:p>
    <w:p w14:paraId="14D47D49" w14:textId="77777777" w:rsidR="00FE6589" w:rsidRPr="00FE6589" w:rsidRDefault="00FE6589" w:rsidP="00FE6589">
      <w:pPr>
        <w:numPr>
          <w:ilvl w:val="0"/>
          <w:numId w:val="28"/>
        </w:numPr>
        <w:contextualSpacing/>
        <w:rPr>
          <w:rFonts w:ascii="Calibri" w:eastAsia="Calibri" w:hAnsi="Calibri" w:cs="Times New Roman"/>
        </w:rPr>
      </w:pPr>
      <w:r w:rsidRPr="00FE6589">
        <w:rPr>
          <w:rFonts w:ascii="Calibri" w:eastAsia="Calibri" w:hAnsi="Calibri" w:cs="Times New Roman"/>
        </w:rPr>
        <w:t>Make sure the option you choose has ‘(LGA)’ at the end of the descriptor, as some names might refer to an LGA but also a town or city, for example, which could generate different demographic information.</w:t>
      </w:r>
    </w:p>
    <w:p w14:paraId="36D72619" w14:textId="77777777" w:rsidR="00FE6589" w:rsidRPr="00FE6589" w:rsidRDefault="00FE6589" w:rsidP="00FE6589">
      <w:pPr>
        <w:numPr>
          <w:ilvl w:val="0"/>
          <w:numId w:val="28"/>
        </w:numPr>
        <w:contextualSpacing/>
        <w:rPr>
          <w:rFonts w:ascii="Calibri" w:eastAsia="Calibri" w:hAnsi="Calibri" w:cs="Times New Roman"/>
        </w:rPr>
      </w:pPr>
      <w:r w:rsidRPr="00FE6589">
        <w:rPr>
          <w:rFonts w:ascii="Calibri" w:eastAsia="Calibri" w:hAnsi="Calibri" w:cs="Times New Roman"/>
        </w:rPr>
        <w:t>The LGA will be highlighted on the map.</w:t>
      </w:r>
    </w:p>
    <w:p w14:paraId="76DD58FB" w14:textId="77777777" w:rsidR="00FE6589" w:rsidRPr="00FE6589" w:rsidRDefault="00FE6589" w:rsidP="004C50BA">
      <w:pPr>
        <w:spacing w:before="240"/>
        <w:rPr>
          <w:rFonts w:ascii="Calibri" w:eastAsia="Calibri" w:hAnsi="Calibri" w:cs="Times New Roman"/>
        </w:rPr>
      </w:pPr>
      <w:r w:rsidRPr="00FE6589">
        <w:rPr>
          <w:rFonts w:ascii="Calibri" w:eastAsia="Calibri" w:hAnsi="Calibri" w:cs="Times New Roman"/>
        </w:rPr>
        <w:t xml:space="preserve">In the </w:t>
      </w:r>
      <w:r w:rsidRPr="00FE6589">
        <w:rPr>
          <w:rFonts w:ascii="Calibri" w:eastAsia="Calibri" w:hAnsi="Calibri" w:cs="Times New Roman"/>
          <w:b/>
        </w:rPr>
        <w:t>Selected Region</w:t>
      </w:r>
      <w:r w:rsidRPr="00FE6589">
        <w:rPr>
          <w:rFonts w:ascii="Calibri" w:eastAsia="Calibri" w:hAnsi="Calibri" w:cs="Times New Roman"/>
        </w:rPr>
        <w:t xml:space="preserve"> box underneath choose </w:t>
      </w:r>
      <w:r w:rsidRPr="00FE6589">
        <w:rPr>
          <w:rFonts w:ascii="Calibri" w:eastAsia="Calibri" w:hAnsi="Calibri" w:cs="Times New Roman"/>
          <w:b/>
        </w:rPr>
        <w:t>View Community Profile</w:t>
      </w:r>
      <w:r w:rsidRPr="00FE6589">
        <w:rPr>
          <w:rFonts w:ascii="Calibri" w:eastAsia="Calibri" w:hAnsi="Calibri" w:cs="Times New Roman"/>
        </w:rPr>
        <w:t xml:space="preserve"> for (name LGA)</w:t>
      </w:r>
    </w:p>
    <w:p w14:paraId="24AB9576" w14:textId="77777777" w:rsidR="00FE6589" w:rsidRPr="00FE6589" w:rsidRDefault="00FE6589" w:rsidP="00FE6589">
      <w:pPr>
        <w:rPr>
          <w:rFonts w:ascii="Calibri" w:eastAsia="Calibri" w:hAnsi="Calibri" w:cs="Times New Roman"/>
          <w:b/>
        </w:rPr>
      </w:pPr>
      <w:r w:rsidRPr="00FE6589">
        <w:rPr>
          <w:rFonts w:ascii="Calibri" w:eastAsia="Calibri" w:hAnsi="Calibri" w:cs="Times New Roman"/>
        </w:rPr>
        <w:t xml:space="preserve">Next select the </w:t>
      </w:r>
      <w:r w:rsidRPr="00FE6589">
        <w:rPr>
          <w:rFonts w:ascii="Calibri" w:eastAsia="Calibri" w:hAnsi="Calibri" w:cs="Times New Roman"/>
          <w:b/>
        </w:rPr>
        <w:t>Aboriginal and Torres Strait Islander Peoples Profile.</w:t>
      </w:r>
    </w:p>
    <w:p w14:paraId="6591A881" w14:textId="77777777" w:rsidR="00FE6589" w:rsidRPr="00FE6589" w:rsidRDefault="00FE6589" w:rsidP="00FE6589">
      <w:pPr>
        <w:rPr>
          <w:rFonts w:ascii="Calibri" w:eastAsia="Calibri" w:hAnsi="Calibri" w:cs="Times New Roman"/>
        </w:rPr>
      </w:pPr>
      <w:r w:rsidRPr="00FE6589">
        <w:rPr>
          <w:rFonts w:ascii="Calibri" w:eastAsia="Calibri" w:hAnsi="Calibri" w:cs="Times New Roman"/>
        </w:rPr>
        <w:t>Double click on the downloaded Excel sheet.</w:t>
      </w:r>
    </w:p>
    <w:p w14:paraId="1FFA587F" w14:textId="77777777" w:rsidR="00FE6589" w:rsidRPr="00FE6589" w:rsidRDefault="00FE6589" w:rsidP="00FE6589">
      <w:pPr>
        <w:numPr>
          <w:ilvl w:val="0"/>
          <w:numId w:val="29"/>
        </w:numPr>
        <w:contextualSpacing/>
        <w:rPr>
          <w:rFonts w:ascii="Calibri" w:eastAsia="Calibri" w:hAnsi="Calibri" w:cs="Times New Roman"/>
        </w:rPr>
      </w:pPr>
      <w:r w:rsidRPr="00FE6589">
        <w:rPr>
          <w:rFonts w:ascii="Calibri" w:eastAsia="Calibri" w:hAnsi="Calibri" w:cs="Times New Roman"/>
        </w:rPr>
        <w:t xml:space="preserve">Click on </w:t>
      </w:r>
      <w:proofErr w:type="gramStart"/>
      <w:r w:rsidRPr="00FE6589">
        <w:rPr>
          <w:rFonts w:ascii="Calibri" w:eastAsia="Calibri" w:hAnsi="Calibri" w:cs="Times New Roman"/>
        </w:rPr>
        <w:t xml:space="preserve">the </w:t>
      </w:r>
      <w:r w:rsidRPr="00FE6589">
        <w:rPr>
          <w:rFonts w:ascii="Calibri" w:eastAsia="Calibri" w:hAnsi="Calibri" w:cs="Times New Roman"/>
          <w:b/>
        </w:rPr>
        <w:t>I</w:t>
      </w:r>
      <w:proofErr w:type="gramEnd"/>
      <w:r w:rsidRPr="00FE6589">
        <w:rPr>
          <w:rFonts w:ascii="Calibri" w:eastAsia="Calibri" w:hAnsi="Calibri" w:cs="Times New Roman"/>
          <w:b/>
        </w:rPr>
        <w:t xml:space="preserve"> 03</w:t>
      </w:r>
      <w:r w:rsidRPr="00FE6589">
        <w:rPr>
          <w:rFonts w:ascii="Calibri" w:eastAsia="Calibri" w:hAnsi="Calibri" w:cs="Times New Roman"/>
        </w:rPr>
        <w:t xml:space="preserve"> tab.</w:t>
      </w:r>
    </w:p>
    <w:p w14:paraId="6221CEBC" w14:textId="73210535" w:rsidR="00FE6589" w:rsidRPr="00FE6589" w:rsidRDefault="00FE6589" w:rsidP="00FE6589">
      <w:pPr>
        <w:rPr>
          <w:rFonts w:ascii="Calibri" w:eastAsia="Calibri" w:hAnsi="Calibri" w:cs="Times New Roman"/>
        </w:rPr>
      </w:pPr>
      <w:r w:rsidRPr="00FE6589">
        <w:rPr>
          <w:rFonts w:ascii="Calibri" w:eastAsia="Calibri" w:hAnsi="Calibri" w:cs="Times New Roman"/>
        </w:rPr>
        <w:t xml:space="preserve">You now have all the information in front of you to calculate the </w:t>
      </w:r>
      <w:r w:rsidR="00103B0B" w:rsidRPr="00103B0B">
        <w:rPr>
          <w:rFonts w:ascii="Calibri" w:eastAsia="Calibri" w:hAnsi="Calibri" w:cs="Times New Roman"/>
        </w:rPr>
        <w:t>Aboriginal and Torres Strait Islander</w:t>
      </w:r>
      <w:r w:rsidRPr="00FE6589">
        <w:rPr>
          <w:rFonts w:ascii="Calibri" w:eastAsia="Calibri" w:hAnsi="Calibri" w:cs="Times New Roman"/>
        </w:rPr>
        <w:t xml:space="preserve"> working age population percentage of the LGA.</w:t>
      </w:r>
    </w:p>
    <w:p w14:paraId="4604F0E4" w14:textId="77777777" w:rsidR="00FE6589" w:rsidRPr="00FE6589" w:rsidRDefault="00FE6589" w:rsidP="00FE6589">
      <w:pPr>
        <w:rPr>
          <w:rFonts w:ascii="Calibri" w:eastAsia="Calibri" w:hAnsi="Calibri" w:cs="Times New Roman"/>
        </w:rPr>
      </w:pPr>
      <w:r w:rsidRPr="00FE6589">
        <w:rPr>
          <w:rFonts w:ascii="Calibri" w:eastAsia="Calibri" w:hAnsi="Calibri" w:cs="Times New Roman"/>
        </w:rPr>
        <w:t>The following process is a manual calculation.</w:t>
      </w:r>
    </w:p>
    <w:p w14:paraId="469A3890" w14:textId="77777777" w:rsidR="00FE6589" w:rsidRPr="00FE6589" w:rsidRDefault="00FE6589" w:rsidP="00FE6589">
      <w:pPr>
        <w:numPr>
          <w:ilvl w:val="0"/>
          <w:numId w:val="30"/>
        </w:numPr>
        <w:contextualSpacing/>
        <w:rPr>
          <w:rFonts w:ascii="Calibri" w:eastAsia="Calibri" w:hAnsi="Calibri" w:cs="Times New Roman"/>
          <w:b/>
        </w:rPr>
      </w:pPr>
      <w:r w:rsidRPr="00FE6589">
        <w:rPr>
          <w:rFonts w:ascii="Calibri" w:eastAsia="Calibri" w:hAnsi="Calibri" w:cs="Times New Roman"/>
        </w:rPr>
        <w:t xml:space="preserve">Add together all the </w:t>
      </w:r>
      <w:r w:rsidRPr="00FE6589">
        <w:rPr>
          <w:rFonts w:ascii="Calibri" w:eastAsia="Calibri" w:hAnsi="Calibri" w:cs="Times New Roman"/>
          <w:b/>
        </w:rPr>
        <w:t>Aboriginal and/or Torres Strait Islander</w:t>
      </w:r>
      <w:r w:rsidRPr="00FE6589">
        <w:rPr>
          <w:rFonts w:ascii="Calibri" w:eastAsia="Calibri" w:hAnsi="Calibri" w:cs="Times New Roman"/>
        </w:rPr>
        <w:t xml:space="preserve"> </w:t>
      </w:r>
      <w:r w:rsidRPr="00FE6589">
        <w:rPr>
          <w:rFonts w:ascii="Calibri" w:eastAsia="Calibri" w:hAnsi="Calibri" w:cs="Times New Roman"/>
          <w:b/>
        </w:rPr>
        <w:t>Persons</w:t>
      </w:r>
      <w:r w:rsidRPr="00FE6589">
        <w:rPr>
          <w:rFonts w:ascii="Calibri" w:eastAsia="Calibri" w:hAnsi="Calibri" w:cs="Times New Roman"/>
        </w:rPr>
        <w:t xml:space="preserve"> column aged 15-64 years to get total </w:t>
      </w:r>
      <w:r w:rsidRPr="00FE6589">
        <w:rPr>
          <w:rFonts w:ascii="Calibri" w:eastAsia="Calibri" w:hAnsi="Calibri" w:cs="Times New Roman"/>
          <w:b/>
        </w:rPr>
        <w:t>X.</w:t>
      </w:r>
    </w:p>
    <w:p w14:paraId="2578CF12" w14:textId="77777777" w:rsidR="00FE6589" w:rsidRPr="00FE6589" w:rsidRDefault="00FE6589" w:rsidP="00FE6589">
      <w:pPr>
        <w:numPr>
          <w:ilvl w:val="0"/>
          <w:numId w:val="30"/>
        </w:numPr>
        <w:contextualSpacing/>
        <w:rPr>
          <w:rFonts w:ascii="Calibri" w:eastAsia="Calibri" w:hAnsi="Calibri" w:cs="Times New Roman"/>
        </w:rPr>
      </w:pPr>
      <w:r w:rsidRPr="00FE6589">
        <w:rPr>
          <w:rFonts w:ascii="Calibri" w:eastAsia="Calibri" w:hAnsi="Calibri" w:cs="Times New Roman"/>
        </w:rPr>
        <w:t xml:space="preserve">Add together all the </w:t>
      </w:r>
      <w:r w:rsidRPr="00FE6589">
        <w:rPr>
          <w:rFonts w:ascii="Calibri" w:eastAsia="Calibri" w:hAnsi="Calibri" w:cs="Times New Roman"/>
          <w:b/>
        </w:rPr>
        <w:t>Aboriginal and/or Torres Strait Islander</w:t>
      </w:r>
      <w:r w:rsidRPr="00FE6589">
        <w:rPr>
          <w:rFonts w:ascii="Calibri" w:eastAsia="Calibri" w:hAnsi="Calibri" w:cs="Times New Roman"/>
        </w:rPr>
        <w:t xml:space="preserve"> </w:t>
      </w:r>
      <w:r w:rsidRPr="00FE6589">
        <w:rPr>
          <w:rFonts w:ascii="Calibri" w:eastAsia="Calibri" w:hAnsi="Calibri" w:cs="Times New Roman"/>
          <w:b/>
        </w:rPr>
        <w:t>Persons</w:t>
      </w:r>
      <w:r w:rsidRPr="00FE6589">
        <w:rPr>
          <w:rFonts w:ascii="Calibri" w:eastAsia="Calibri" w:hAnsi="Calibri" w:cs="Times New Roman"/>
        </w:rPr>
        <w:t xml:space="preserve"> column aged 15-64 years and all the </w:t>
      </w:r>
      <w:r w:rsidRPr="00FE6589">
        <w:rPr>
          <w:rFonts w:ascii="Calibri" w:eastAsia="Calibri" w:hAnsi="Calibri" w:cs="Times New Roman"/>
          <w:b/>
        </w:rPr>
        <w:t>Non-Indigenous</w:t>
      </w:r>
      <w:r w:rsidRPr="00FE6589">
        <w:rPr>
          <w:rFonts w:ascii="Calibri" w:eastAsia="Calibri" w:hAnsi="Calibri" w:cs="Times New Roman"/>
        </w:rPr>
        <w:t xml:space="preserve"> </w:t>
      </w:r>
      <w:r w:rsidRPr="00FE6589">
        <w:rPr>
          <w:rFonts w:ascii="Calibri" w:eastAsia="Calibri" w:hAnsi="Calibri" w:cs="Times New Roman"/>
          <w:b/>
        </w:rPr>
        <w:t>Persons</w:t>
      </w:r>
      <w:r w:rsidRPr="00FE6589">
        <w:rPr>
          <w:rFonts w:ascii="Calibri" w:eastAsia="Calibri" w:hAnsi="Calibri" w:cs="Times New Roman"/>
        </w:rPr>
        <w:t xml:space="preserve"> column to get total </w:t>
      </w:r>
      <w:r w:rsidRPr="00FE6589">
        <w:rPr>
          <w:rFonts w:ascii="Calibri" w:eastAsia="Calibri" w:hAnsi="Calibri" w:cs="Times New Roman"/>
          <w:b/>
        </w:rPr>
        <w:t>Y</w:t>
      </w:r>
      <w:r w:rsidRPr="00FE6589">
        <w:rPr>
          <w:rFonts w:ascii="Calibri" w:eastAsia="Calibri" w:hAnsi="Calibri" w:cs="Times New Roman"/>
        </w:rPr>
        <w:t>.</w:t>
      </w:r>
    </w:p>
    <w:p w14:paraId="26ACA874" w14:textId="77777777" w:rsidR="00FE6589" w:rsidRPr="00FE6589" w:rsidRDefault="00FE6589" w:rsidP="00FE6589">
      <w:pPr>
        <w:numPr>
          <w:ilvl w:val="0"/>
          <w:numId w:val="30"/>
        </w:numPr>
        <w:contextualSpacing/>
        <w:rPr>
          <w:rFonts w:ascii="Calibri" w:eastAsia="Calibri" w:hAnsi="Calibri" w:cs="Times New Roman"/>
        </w:rPr>
      </w:pPr>
      <w:r w:rsidRPr="00FE6589">
        <w:rPr>
          <w:rFonts w:ascii="Calibri" w:eastAsia="Calibri" w:hAnsi="Calibri" w:cs="Times New Roman"/>
        </w:rPr>
        <w:t xml:space="preserve">Divide </w:t>
      </w:r>
      <w:r w:rsidRPr="00FE6589">
        <w:rPr>
          <w:rFonts w:ascii="Calibri" w:eastAsia="Calibri" w:hAnsi="Calibri" w:cs="Times New Roman"/>
          <w:b/>
        </w:rPr>
        <w:t>X</w:t>
      </w:r>
      <w:r w:rsidRPr="00FE6589">
        <w:rPr>
          <w:rFonts w:ascii="Calibri" w:eastAsia="Calibri" w:hAnsi="Calibri" w:cs="Times New Roman"/>
        </w:rPr>
        <w:t xml:space="preserve"> by </w:t>
      </w:r>
      <w:r w:rsidRPr="00FE6589">
        <w:rPr>
          <w:rFonts w:ascii="Calibri" w:eastAsia="Calibri" w:hAnsi="Calibri" w:cs="Times New Roman"/>
          <w:b/>
        </w:rPr>
        <w:t>Y</w:t>
      </w:r>
      <w:r w:rsidRPr="00FE6589">
        <w:rPr>
          <w:rFonts w:ascii="Calibri" w:eastAsia="Calibri" w:hAnsi="Calibri" w:cs="Times New Roman"/>
        </w:rPr>
        <w:t xml:space="preserve"> and multiply by 100.</w:t>
      </w:r>
    </w:p>
    <w:p w14:paraId="48C7257C" w14:textId="0D56D95F" w:rsidR="00FE6589" w:rsidRPr="00FE6589" w:rsidRDefault="00FE6589" w:rsidP="00FE6589">
      <w:pPr>
        <w:numPr>
          <w:ilvl w:val="0"/>
          <w:numId w:val="30"/>
        </w:numPr>
        <w:contextualSpacing/>
        <w:rPr>
          <w:rFonts w:ascii="Calibri" w:eastAsia="Calibri" w:hAnsi="Calibri" w:cs="Times New Roman"/>
        </w:rPr>
      </w:pPr>
      <w:r w:rsidRPr="00FE6589">
        <w:rPr>
          <w:rFonts w:ascii="Calibri" w:eastAsia="Calibri" w:hAnsi="Calibri" w:cs="Times New Roman"/>
        </w:rPr>
        <w:t xml:space="preserve">The resulting number is the percentage of the working age population of the area which is </w:t>
      </w:r>
      <w:r w:rsidR="00103B0B" w:rsidRPr="00103B0B">
        <w:rPr>
          <w:rFonts w:ascii="Calibri" w:eastAsia="Calibri" w:hAnsi="Calibri" w:cs="Times New Roman"/>
        </w:rPr>
        <w:t>Aboriginal and Torres Strait Islander</w:t>
      </w:r>
      <w:r w:rsidRPr="00FE6589">
        <w:rPr>
          <w:rFonts w:ascii="Calibri" w:eastAsia="Calibri" w:hAnsi="Calibri" w:cs="Times New Roman"/>
        </w:rPr>
        <w:t>.</w:t>
      </w:r>
    </w:p>
    <w:p w14:paraId="1AF5DA7E" w14:textId="77777777" w:rsidR="00FE6589" w:rsidRPr="00FE6589" w:rsidRDefault="00FE6589" w:rsidP="00FE6589">
      <w:pPr>
        <w:numPr>
          <w:ilvl w:val="1"/>
          <w:numId w:val="30"/>
        </w:numPr>
        <w:contextualSpacing/>
        <w:rPr>
          <w:rFonts w:ascii="Calibri" w:eastAsia="Calibri" w:hAnsi="Calibri" w:cs="Times New Roman"/>
        </w:rPr>
      </w:pPr>
      <w:r w:rsidRPr="00FE6589">
        <w:rPr>
          <w:rFonts w:ascii="Calibri" w:eastAsia="Calibri" w:hAnsi="Calibri" w:cs="Times New Roman"/>
        </w:rPr>
        <w:t xml:space="preserve">The calculation has ignored the </w:t>
      </w:r>
      <w:r w:rsidRPr="00FE6589">
        <w:rPr>
          <w:rFonts w:ascii="Calibri" w:eastAsia="Calibri" w:hAnsi="Calibri" w:cs="Times New Roman"/>
          <w:b/>
        </w:rPr>
        <w:t>Indigenous status not stated</w:t>
      </w:r>
      <w:r w:rsidRPr="00FE6589">
        <w:rPr>
          <w:rFonts w:ascii="Calibri" w:eastAsia="Calibri" w:hAnsi="Calibri" w:cs="Times New Roman"/>
        </w:rPr>
        <w:t xml:space="preserve"> column as by definition it is not clear how to attribute that group.</w:t>
      </w:r>
    </w:p>
    <w:p w14:paraId="64CBE272" w14:textId="77777777" w:rsidR="00FE6589" w:rsidRPr="00FE6589" w:rsidRDefault="00FE6589" w:rsidP="00FE6589">
      <w:pPr>
        <w:numPr>
          <w:ilvl w:val="0"/>
          <w:numId w:val="30"/>
        </w:numPr>
        <w:contextualSpacing/>
        <w:rPr>
          <w:rFonts w:ascii="Calibri" w:eastAsia="Calibri" w:hAnsi="Calibri" w:cs="Times New Roman"/>
        </w:rPr>
      </w:pPr>
      <w:r w:rsidRPr="00FE6589">
        <w:rPr>
          <w:rFonts w:ascii="Calibri" w:eastAsia="Calibri" w:hAnsi="Calibri" w:cs="Times New Roman"/>
        </w:rPr>
        <w:t>The percentage shown is the total target number to which you can then apply a combination of employment and supplier-use target numbers.</w:t>
      </w:r>
    </w:p>
    <w:p w14:paraId="7CBB24F9" w14:textId="77777777" w:rsidR="00FE6589" w:rsidRPr="00FE6589" w:rsidRDefault="00FE6589" w:rsidP="00FE6589">
      <w:pPr>
        <w:numPr>
          <w:ilvl w:val="1"/>
          <w:numId w:val="30"/>
        </w:numPr>
        <w:contextualSpacing/>
        <w:rPr>
          <w:rFonts w:ascii="Calibri" w:eastAsia="Calibri" w:hAnsi="Calibri" w:cs="Times New Roman"/>
        </w:rPr>
      </w:pPr>
      <w:r w:rsidRPr="00FE6589">
        <w:rPr>
          <w:rFonts w:ascii="Calibri" w:eastAsia="Calibri" w:hAnsi="Calibri" w:cs="Times New Roman"/>
        </w:rPr>
        <w:t>You may need to moderate this total target figure according to the considerations mentioned in the guidelines.</w:t>
      </w:r>
    </w:p>
    <w:p w14:paraId="39DD7407" w14:textId="2D1FE1D8" w:rsidR="0096374F" w:rsidRPr="0096374F" w:rsidRDefault="0096374F" w:rsidP="00ED169D"/>
    <w:sectPr w:rsidR="0096374F" w:rsidRPr="0096374F" w:rsidSect="00F535C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175F4" w14:textId="77777777" w:rsidR="0023555F" w:rsidRDefault="0023555F" w:rsidP="00AD306A">
      <w:pPr>
        <w:spacing w:after="0" w:line="240" w:lineRule="auto"/>
      </w:pPr>
      <w:r>
        <w:separator/>
      </w:r>
    </w:p>
  </w:endnote>
  <w:endnote w:type="continuationSeparator" w:id="0">
    <w:p w14:paraId="7EBA9F69" w14:textId="77777777" w:rsidR="0023555F" w:rsidRDefault="0023555F" w:rsidP="00AD306A">
      <w:pPr>
        <w:spacing w:after="0" w:line="240" w:lineRule="auto"/>
      </w:pPr>
      <w:r>
        <w:continuationSeparator/>
      </w:r>
    </w:p>
  </w:endnote>
  <w:endnote w:type="continuationNotice" w:id="1">
    <w:p w14:paraId="1E3A4F17" w14:textId="77777777" w:rsidR="0023555F" w:rsidRDefault="00235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FED6" w14:textId="77777777" w:rsidR="00865139" w:rsidRDefault="00865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139751"/>
      <w:docPartObj>
        <w:docPartGallery w:val="Page Numbers (Bottom of Page)"/>
        <w:docPartUnique/>
      </w:docPartObj>
    </w:sdtPr>
    <w:sdtEndPr>
      <w:rPr>
        <w:noProof/>
      </w:rPr>
    </w:sdtEndPr>
    <w:sdtContent>
      <w:p w14:paraId="498C9229" w14:textId="3A6169A6" w:rsidR="00013CD7" w:rsidRDefault="00013CD7">
        <w:pPr>
          <w:pStyle w:val="Footer"/>
          <w:jc w:val="right"/>
        </w:pPr>
        <w:r>
          <w:fldChar w:fldCharType="begin"/>
        </w:r>
        <w:r>
          <w:instrText xml:space="preserve"> PAGE   \* MERGEFORMAT </w:instrText>
        </w:r>
        <w:r>
          <w:fldChar w:fldCharType="separate"/>
        </w:r>
        <w:r w:rsidR="00FD2266">
          <w:rPr>
            <w:noProof/>
          </w:rPr>
          <w:t>6</w:t>
        </w:r>
        <w:r>
          <w:rPr>
            <w:noProof/>
          </w:rPr>
          <w:fldChar w:fldCharType="end"/>
        </w:r>
      </w:p>
    </w:sdtContent>
  </w:sdt>
  <w:p w14:paraId="7B8DB62B" w14:textId="77777777" w:rsidR="0023555F" w:rsidRDefault="0023555F" w:rsidP="00013CD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40668"/>
      <w:docPartObj>
        <w:docPartGallery w:val="Page Numbers (Bottom of Page)"/>
        <w:docPartUnique/>
      </w:docPartObj>
    </w:sdtPr>
    <w:sdtEndPr>
      <w:rPr>
        <w:noProof/>
      </w:rPr>
    </w:sdtEndPr>
    <w:sdtContent>
      <w:p w14:paraId="7C109FCE" w14:textId="4A0FC7D5" w:rsidR="00013CD7" w:rsidRDefault="00013CD7">
        <w:pPr>
          <w:pStyle w:val="Footer"/>
          <w:jc w:val="right"/>
        </w:pPr>
        <w:r>
          <w:fldChar w:fldCharType="begin"/>
        </w:r>
        <w:r>
          <w:instrText xml:space="preserve"> PAGE   \* MERGEFORMAT </w:instrText>
        </w:r>
        <w:r>
          <w:fldChar w:fldCharType="separate"/>
        </w:r>
        <w:r w:rsidR="00FD2266">
          <w:rPr>
            <w:noProof/>
          </w:rPr>
          <w:t>1</w:t>
        </w:r>
        <w:r>
          <w:rPr>
            <w:noProof/>
          </w:rPr>
          <w:fldChar w:fldCharType="end"/>
        </w:r>
      </w:p>
    </w:sdtContent>
  </w:sdt>
  <w:p w14:paraId="64BE6B18" w14:textId="77777777" w:rsidR="0023555F" w:rsidRDefault="00235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37337"/>
      <w:docPartObj>
        <w:docPartGallery w:val="Page Numbers (Bottom of Page)"/>
        <w:docPartUnique/>
      </w:docPartObj>
    </w:sdtPr>
    <w:sdtEndPr>
      <w:rPr>
        <w:noProof/>
      </w:rPr>
    </w:sdtEndPr>
    <w:sdtContent>
      <w:p w14:paraId="7090DEAE" w14:textId="38F0B56E" w:rsidR="00013CD7" w:rsidRDefault="00FD2266">
        <w:pPr>
          <w:pStyle w:val="Footer"/>
          <w:jc w:val="right"/>
        </w:pPr>
      </w:p>
    </w:sdtContent>
  </w:sdt>
  <w:p w14:paraId="00BB9FDE" w14:textId="77777777" w:rsidR="00013CD7" w:rsidRDefault="00013CD7" w:rsidP="00013CD7">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30065"/>
      <w:docPartObj>
        <w:docPartGallery w:val="Page Numbers (Bottom of Page)"/>
        <w:docPartUnique/>
      </w:docPartObj>
    </w:sdtPr>
    <w:sdtEndPr>
      <w:rPr>
        <w:noProof/>
      </w:rPr>
    </w:sdtEndPr>
    <w:sdtContent>
      <w:p w14:paraId="539D4158" w14:textId="2407ACC7" w:rsidR="0023555F" w:rsidRDefault="00FD2266">
        <w:pPr>
          <w:pStyle w:val="Footer"/>
          <w:jc w:val="right"/>
        </w:pPr>
      </w:p>
    </w:sdtContent>
  </w:sdt>
  <w:p w14:paraId="52E0B545" w14:textId="77777777" w:rsidR="0023555F" w:rsidRDefault="00235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DAC0A" w14:textId="77777777" w:rsidR="0023555F" w:rsidRDefault="0023555F" w:rsidP="00AD306A">
      <w:pPr>
        <w:spacing w:after="0" w:line="240" w:lineRule="auto"/>
      </w:pPr>
      <w:r>
        <w:separator/>
      </w:r>
    </w:p>
  </w:footnote>
  <w:footnote w:type="continuationSeparator" w:id="0">
    <w:p w14:paraId="60F19F2D" w14:textId="77777777" w:rsidR="0023555F" w:rsidRDefault="0023555F" w:rsidP="00AD306A">
      <w:pPr>
        <w:spacing w:after="0" w:line="240" w:lineRule="auto"/>
      </w:pPr>
      <w:r>
        <w:continuationSeparator/>
      </w:r>
    </w:p>
  </w:footnote>
  <w:footnote w:type="continuationNotice" w:id="1">
    <w:p w14:paraId="7CC0DC40" w14:textId="77777777" w:rsidR="0023555F" w:rsidRDefault="002355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E86C" w14:textId="77777777" w:rsidR="00865139" w:rsidRDefault="00865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5E0A" w14:textId="77777777" w:rsidR="00865139" w:rsidRDefault="00865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8850" w14:textId="25DE0594" w:rsidR="0023555F" w:rsidRDefault="0023555F">
    <w:pPr>
      <w:pStyle w:val="Header"/>
    </w:pPr>
    <w:r w:rsidRPr="00180BF8">
      <w:rPr>
        <w:noProof/>
        <w:lang w:eastAsia="en-AU"/>
      </w:rPr>
      <w:drawing>
        <wp:inline distT="0" distB="0" distL="0" distR="0" wp14:anchorId="5188CEA3" wp14:editId="086C352F">
          <wp:extent cx="2682000" cy="694800"/>
          <wp:effectExtent l="0" t="0" r="4445" b="0"/>
          <wp:docPr id="3" name="Picture 3"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2000" cy="694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35F"/>
    <w:multiLevelType w:val="hybridMultilevel"/>
    <w:tmpl w:val="2230F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73C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F03BF1"/>
    <w:multiLevelType w:val="hybridMultilevel"/>
    <w:tmpl w:val="B102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82B01"/>
    <w:multiLevelType w:val="hybridMultilevel"/>
    <w:tmpl w:val="ED10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85BFD"/>
    <w:multiLevelType w:val="multilevel"/>
    <w:tmpl w:val="0EB48FF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8797C7D"/>
    <w:multiLevelType w:val="multilevel"/>
    <w:tmpl w:val="6F30F5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D6CD8"/>
    <w:multiLevelType w:val="hybridMultilevel"/>
    <w:tmpl w:val="D9008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4549D7"/>
    <w:multiLevelType w:val="hybridMultilevel"/>
    <w:tmpl w:val="085E3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D47383"/>
    <w:multiLevelType w:val="hybridMultilevel"/>
    <w:tmpl w:val="55CA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C39D4"/>
    <w:multiLevelType w:val="multilevel"/>
    <w:tmpl w:val="6F30F5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165B1C"/>
    <w:multiLevelType w:val="hybridMultilevel"/>
    <w:tmpl w:val="BCE65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8A370F"/>
    <w:multiLevelType w:val="hybridMultilevel"/>
    <w:tmpl w:val="E3D4E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56A8C"/>
    <w:multiLevelType w:val="hybridMultilevel"/>
    <w:tmpl w:val="A69C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D7FD6"/>
    <w:multiLevelType w:val="hybridMultilevel"/>
    <w:tmpl w:val="0120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EE13E3"/>
    <w:multiLevelType w:val="hybridMultilevel"/>
    <w:tmpl w:val="C9E8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342FF"/>
    <w:multiLevelType w:val="hybridMultilevel"/>
    <w:tmpl w:val="4720E96C"/>
    <w:lvl w:ilvl="0" w:tplc="0C090001">
      <w:start w:val="1"/>
      <w:numFmt w:val="bullet"/>
      <w:lvlText w:val=""/>
      <w:lvlJc w:val="left"/>
      <w:pPr>
        <w:ind w:left="720" w:hanging="360"/>
      </w:pPr>
      <w:rPr>
        <w:rFonts w:ascii="Symbol" w:hAnsi="Symbol" w:hint="default"/>
      </w:rPr>
    </w:lvl>
    <w:lvl w:ilvl="1" w:tplc="773CC1E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6198F"/>
    <w:multiLevelType w:val="hybridMultilevel"/>
    <w:tmpl w:val="70CC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F21122"/>
    <w:multiLevelType w:val="hybridMultilevel"/>
    <w:tmpl w:val="DB46C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6E30C7"/>
    <w:multiLevelType w:val="hybridMultilevel"/>
    <w:tmpl w:val="95348A0A"/>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214AB"/>
    <w:multiLevelType w:val="hybridMultilevel"/>
    <w:tmpl w:val="0D16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547B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A252C"/>
    <w:multiLevelType w:val="hybridMultilevel"/>
    <w:tmpl w:val="FE849EF4"/>
    <w:lvl w:ilvl="0" w:tplc="0C090001">
      <w:start w:val="1"/>
      <w:numFmt w:val="bullet"/>
      <w:lvlText w:val=""/>
      <w:lvlJc w:val="left"/>
      <w:pPr>
        <w:ind w:left="720" w:hanging="360"/>
      </w:pPr>
      <w:rPr>
        <w:rFonts w:ascii="Symbol" w:hAnsi="Symbol" w:hint="default"/>
      </w:rPr>
    </w:lvl>
    <w:lvl w:ilvl="1" w:tplc="D6EA7A82">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10273"/>
    <w:multiLevelType w:val="multilevel"/>
    <w:tmpl w:val="6F30F5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062A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2E10FD"/>
    <w:multiLevelType w:val="hybridMultilevel"/>
    <w:tmpl w:val="1E620B46"/>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96247"/>
    <w:multiLevelType w:val="multilevel"/>
    <w:tmpl w:val="6F30F5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7A6426"/>
    <w:multiLevelType w:val="hybridMultilevel"/>
    <w:tmpl w:val="904A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0D6213"/>
    <w:multiLevelType w:val="multilevel"/>
    <w:tmpl w:val="6F30F5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C20DF1"/>
    <w:multiLevelType w:val="multilevel"/>
    <w:tmpl w:val="0EB48FF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F6332A9"/>
    <w:multiLevelType w:val="hybridMultilevel"/>
    <w:tmpl w:val="82BA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B1045E"/>
    <w:multiLevelType w:val="hybridMultilevel"/>
    <w:tmpl w:val="8A462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CC7293"/>
    <w:multiLevelType w:val="hybridMultilevel"/>
    <w:tmpl w:val="6302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8266D"/>
    <w:multiLevelType w:val="multilevel"/>
    <w:tmpl w:val="0EB48FF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AA72384"/>
    <w:multiLevelType w:val="hybridMultilevel"/>
    <w:tmpl w:val="485C818C"/>
    <w:lvl w:ilvl="0" w:tplc="0C090001">
      <w:start w:val="1"/>
      <w:numFmt w:val="bullet"/>
      <w:lvlText w:val=""/>
      <w:lvlJc w:val="left"/>
      <w:pPr>
        <w:ind w:left="720" w:hanging="360"/>
      </w:pPr>
      <w:rPr>
        <w:rFonts w:ascii="Symbol" w:hAnsi="Symbol" w:hint="default"/>
      </w:rPr>
    </w:lvl>
    <w:lvl w:ilvl="1" w:tplc="52BC8648">
      <w:numFmt w:val="bullet"/>
      <w:lvlText w:val="•"/>
      <w:lvlJc w:val="left"/>
      <w:pPr>
        <w:ind w:left="1440" w:hanging="360"/>
      </w:pPr>
      <w:rPr>
        <w:rFonts w:asciiTheme="minorHAnsi" w:eastAsiaTheme="minorHAnsi" w:hAnsiTheme="minorHAns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4913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num>
  <w:num w:numId="3">
    <w:abstractNumId w:val="16"/>
  </w:num>
  <w:num w:numId="4">
    <w:abstractNumId w:val="30"/>
  </w:num>
  <w:num w:numId="5">
    <w:abstractNumId w:val="8"/>
  </w:num>
  <w:num w:numId="6">
    <w:abstractNumId w:val="7"/>
  </w:num>
  <w:num w:numId="7">
    <w:abstractNumId w:val="26"/>
  </w:num>
  <w:num w:numId="8">
    <w:abstractNumId w:val="11"/>
  </w:num>
  <w:num w:numId="9">
    <w:abstractNumId w:val="2"/>
  </w:num>
  <w:num w:numId="10">
    <w:abstractNumId w:val="33"/>
  </w:num>
  <w:num w:numId="11">
    <w:abstractNumId w:val="13"/>
  </w:num>
  <w:num w:numId="12">
    <w:abstractNumId w:val="31"/>
  </w:num>
  <w:num w:numId="13">
    <w:abstractNumId w:val="21"/>
  </w:num>
  <w:num w:numId="14">
    <w:abstractNumId w:val="32"/>
  </w:num>
  <w:num w:numId="15">
    <w:abstractNumId w:val="28"/>
  </w:num>
  <w:num w:numId="16">
    <w:abstractNumId w:val="6"/>
  </w:num>
  <w:num w:numId="17">
    <w:abstractNumId w:val="34"/>
  </w:num>
  <w:num w:numId="18">
    <w:abstractNumId w:val="23"/>
  </w:num>
  <w:num w:numId="19">
    <w:abstractNumId w:val="10"/>
  </w:num>
  <w:num w:numId="20">
    <w:abstractNumId w:val="17"/>
  </w:num>
  <w:num w:numId="21">
    <w:abstractNumId w:val="29"/>
  </w:num>
  <w:num w:numId="22">
    <w:abstractNumId w:val="19"/>
  </w:num>
  <w:num w:numId="23">
    <w:abstractNumId w:val="4"/>
  </w:num>
  <w:num w:numId="24">
    <w:abstractNumId w:val="27"/>
  </w:num>
  <w:num w:numId="25">
    <w:abstractNumId w:val="22"/>
  </w:num>
  <w:num w:numId="26">
    <w:abstractNumId w:val="5"/>
  </w:num>
  <w:num w:numId="27">
    <w:abstractNumId w:val="9"/>
  </w:num>
  <w:num w:numId="28">
    <w:abstractNumId w:val="14"/>
  </w:num>
  <w:num w:numId="29">
    <w:abstractNumId w:val="12"/>
  </w:num>
  <w:num w:numId="30">
    <w:abstractNumId w:val="18"/>
  </w:num>
  <w:num w:numId="31">
    <w:abstractNumId w:val="3"/>
  </w:num>
  <w:num w:numId="32">
    <w:abstractNumId w:val="24"/>
  </w:num>
  <w:num w:numId="33">
    <w:abstractNumId w:val="2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36"/>
    <w:rsid w:val="00000C0E"/>
    <w:rsid w:val="000108A1"/>
    <w:rsid w:val="000118B9"/>
    <w:rsid w:val="0001220D"/>
    <w:rsid w:val="00013C55"/>
    <w:rsid w:val="00013CD7"/>
    <w:rsid w:val="00023307"/>
    <w:rsid w:val="000340AB"/>
    <w:rsid w:val="0004391C"/>
    <w:rsid w:val="0005339F"/>
    <w:rsid w:val="00055696"/>
    <w:rsid w:val="00067B5B"/>
    <w:rsid w:val="00072767"/>
    <w:rsid w:val="00083574"/>
    <w:rsid w:val="00083F72"/>
    <w:rsid w:val="00086B25"/>
    <w:rsid w:val="000900A9"/>
    <w:rsid w:val="00091A1A"/>
    <w:rsid w:val="0009522F"/>
    <w:rsid w:val="00095840"/>
    <w:rsid w:val="000B0F31"/>
    <w:rsid w:val="000C15B5"/>
    <w:rsid w:val="000C42D8"/>
    <w:rsid w:val="000C7118"/>
    <w:rsid w:val="000D1DC6"/>
    <w:rsid w:val="000D1EE5"/>
    <w:rsid w:val="000D2D23"/>
    <w:rsid w:val="000E4411"/>
    <w:rsid w:val="00101F53"/>
    <w:rsid w:val="00103B0B"/>
    <w:rsid w:val="00112B12"/>
    <w:rsid w:val="00115BF9"/>
    <w:rsid w:val="00121CCE"/>
    <w:rsid w:val="00125CCE"/>
    <w:rsid w:val="00126807"/>
    <w:rsid w:val="00130728"/>
    <w:rsid w:val="00155893"/>
    <w:rsid w:val="00156069"/>
    <w:rsid w:val="00174D7A"/>
    <w:rsid w:val="00184238"/>
    <w:rsid w:val="001A2291"/>
    <w:rsid w:val="001A3B77"/>
    <w:rsid w:val="001C58E1"/>
    <w:rsid w:val="001C58F9"/>
    <w:rsid w:val="001C65BF"/>
    <w:rsid w:val="001D06EB"/>
    <w:rsid w:val="001D76E6"/>
    <w:rsid w:val="001E0C92"/>
    <w:rsid w:val="001E467C"/>
    <w:rsid w:val="001F4DC4"/>
    <w:rsid w:val="001F58BC"/>
    <w:rsid w:val="00203166"/>
    <w:rsid w:val="00216E4E"/>
    <w:rsid w:val="00230762"/>
    <w:rsid w:val="0023555F"/>
    <w:rsid w:val="002377F0"/>
    <w:rsid w:val="00242A36"/>
    <w:rsid w:val="002472DE"/>
    <w:rsid w:val="00254609"/>
    <w:rsid w:val="00254A89"/>
    <w:rsid w:val="00256D2B"/>
    <w:rsid w:val="00267F12"/>
    <w:rsid w:val="002709B1"/>
    <w:rsid w:val="00271E31"/>
    <w:rsid w:val="00274D8F"/>
    <w:rsid w:val="00281ADF"/>
    <w:rsid w:val="00285CA7"/>
    <w:rsid w:val="002875FE"/>
    <w:rsid w:val="002A01D1"/>
    <w:rsid w:val="002A2227"/>
    <w:rsid w:val="002B48FA"/>
    <w:rsid w:val="002B6FCF"/>
    <w:rsid w:val="002D129F"/>
    <w:rsid w:val="002D533B"/>
    <w:rsid w:val="002E0AD8"/>
    <w:rsid w:val="002E73C6"/>
    <w:rsid w:val="002F54C5"/>
    <w:rsid w:val="003049F8"/>
    <w:rsid w:val="00310B03"/>
    <w:rsid w:val="00310E4A"/>
    <w:rsid w:val="00323684"/>
    <w:rsid w:val="0033450C"/>
    <w:rsid w:val="00335D3E"/>
    <w:rsid w:val="00343517"/>
    <w:rsid w:val="00367E61"/>
    <w:rsid w:val="003728F1"/>
    <w:rsid w:val="00374D1C"/>
    <w:rsid w:val="0038173B"/>
    <w:rsid w:val="00382D8C"/>
    <w:rsid w:val="003963D7"/>
    <w:rsid w:val="00397AD1"/>
    <w:rsid w:val="003A3CF6"/>
    <w:rsid w:val="003A5506"/>
    <w:rsid w:val="003A7E05"/>
    <w:rsid w:val="003B2927"/>
    <w:rsid w:val="003B2E03"/>
    <w:rsid w:val="003B3078"/>
    <w:rsid w:val="003B7226"/>
    <w:rsid w:val="003C1AD0"/>
    <w:rsid w:val="003C61A2"/>
    <w:rsid w:val="003D2E3E"/>
    <w:rsid w:val="003D3878"/>
    <w:rsid w:val="003D6F9D"/>
    <w:rsid w:val="003F1947"/>
    <w:rsid w:val="003F48FA"/>
    <w:rsid w:val="00400C88"/>
    <w:rsid w:val="004125C3"/>
    <w:rsid w:val="0042197A"/>
    <w:rsid w:val="00422965"/>
    <w:rsid w:val="00425D35"/>
    <w:rsid w:val="00427DB5"/>
    <w:rsid w:val="004460B7"/>
    <w:rsid w:val="004465B3"/>
    <w:rsid w:val="004507D4"/>
    <w:rsid w:val="00451286"/>
    <w:rsid w:val="00455C95"/>
    <w:rsid w:val="00464EED"/>
    <w:rsid w:val="00465C0E"/>
    <w:rsid w:val="004724B6"/>
    <w:rsid w:val="00473490"/>
    <w:rsid w:val="00476335"/>
    <w:rsid w:val="004816C3"/>
    <w:rsid w:val="0049062E"/>
    <w:rsid w:val="0049193E"/>
    <w:rsid w:val="004932E3"/>
    <w:rsid w:val="004943DC"/>
    <w:rsid w:val="00494AD8"/>
    <w:rsid w:val="00496A98"/>
    <w:rsid w:val="004A1CA3"/>
    <w:rsid w:val="004A21BA"/>
    <w:rsid w:val="004A3863"/>
    <w:rsid w:val="004B4A60"/>
    <w:rsid w:val="004B771B"/>
    <w:rsid w:val="004B7939"/>
    <w:rsid w:val="004C50BA"/>
    <w:rsid w:val="004C6238"/>
    <w:rsid w:val="004C62B5"/>
    <w:rsid w:val="004D1893"/>
    <w:rsid w:val="004E2C44"/>
    <w:rsid w:val="005034FA"/>
    <w:rsid w:val="00512C07"/>
    <w:rsid w:val="00517B92"/>
    <w:rsid w:val="0052028F"/>
    <w:rsid w:val="0052226E"/>
    <w:rsid w:val="005261A8"/>
    <w:rsid w:val="00530487"/>
    <w:rsid w:val="00536B5F"/>
    <w:rsid w:val="005407BF"/>
    <w:rsid w:val="00542A56"/>
    <w:rsid w:val="005450A0"/>
    <w:rsid w:val="00547E20"/>
    <w:rsid w:val="005532CD"/>
    <w:rsid w:val="00554C18"/>
    <w:rsid w:val="00562256"/>
    <w:rsid w:val="0058012F"/>
    <w:rsid w:val="005B117C"/>
    <w:rsid w:val="005B68FF"/>
    <w:rsid w:val="005C6920"/>
    <w:rsid w:val="005D22C5"/>
    <w:rsid w:val="005E48E7"/>
    <w:rsid w:val="005E7451"/>
    <w:rsid w:val="005F06A3"/>
    <w:rsid w:val="005F0D3D"/>
    <w:rsid w:val="005F0D5B"/>
    <w:rsid w:val="005F1385"/>
    <w:rsid w:val="00604609"/>
    <w:rsid w:val="0060565C"/>
    <w:rsid w:val="006165DE"/>
    <w:rsid w:val="00620EA4"/>
    <w:rsid w:val="00621261"/>
    <w:rsid w:val="006272A6"/>
    <w:rsid w:val="006345B9"/>
    <w:rsid w:val="00634D13"/>
    <w:rsid w:val="00641297"/>
    <w:rsid w:val="00643830"/>
    <w:rsid w:val="006457DF"/>
    <w:rsid w:val="006506F5"/>
    <w:rsid w:val="006B0089"/>
    <w:rsid w:val="006B2F91"/>
    <w:rsid w:val="006B3B56"/>
    <w:rsid w:val="006B52A9"/>
    <w:rsid w:val="006C313C"/>
    <w:rsid w:val="006C7C13"/>
    <w:rsid w:val="006D0615"/>
    <w:rsid w:val="006E2CBD"/>
    <w:rsid w:val="006E536D"/>
    <w:rsid w:val="00700370"/>
    <w:rsid w:val="00701EA2"/>
    <w:rsid w:val="00704573"/>
    <w:rsid w:val="0070499C"/>
    <w:rsid w:val="00705D8E"/>
    <w:rsid w:val="007063BB"/>
    <w:rsid w:val="0072056B"/>
    <w:rsid w:val="007269C4"/>
    <w:rsid w:val="00727C17"/>
    <w:rsid w:val="00733ED8"/>
    <w:rsid w:val="007416BB"/>
    <w:rsid w:val="007431CA"/>
    <w:rsid w:val="00747B0F"/>
    <w:rsid w:val="007514AD"/>
    <w:rsid w:val="007525B3"/>
    <w:rsid w:val="0075561A"/>
    <w:rsid w:val="00757BAE"/>
    <w:rsid w:val="0076080D"/>
    <w:rsid w:val="0076206A"/>
    <w:rsid w:val="00772F78"/>
    <w:rsid w:val="00782EF1"/>
    <w:rsid w:val="007B510A"/>
    <w:rsid w:val="007D6DD8"/>
    <w:rsid w:val="007F19E3"/>
    <w:rsid w:val="007F2EF2"/>
    <w:rsid w:val="007F5C6D"/>
    <w:rsid w:val="008177FC"/>
    <w:rsid w:val="008202FD"/>
    <w:rsid w:val="008316E1"/>
    <w:rsid w:val="00834F56"/>
    <w:rsid w:val="0084018A"/>
    <w:rsid w:val="00843630"/>
    <w:rsid w:val="008438C5"/>
    <w:rsid w:val="00862086"/>
    <w:rsid w:val="00865139"/>
    <w:rsid w:val="00892C0A"/>
    <w:rsid w:val="008934E6"/>
    <w:rsid w:val="008940E3"/>
    <w:rsid w:val="00895508"/>
    <w:rsid w:val="00897C97"/>
    <w:rsid w:val="008A03FB"/>
    <w:rsid w:val="008A0E4C"/>
    <w:rsid w:val="008A5102"/>
    <w:rsid w:val="008A6578"/>
    <w:rsid w:val="008C15ED"/>
    <w:rsid w:val="008D1CC2"/>
    <w:rsid w:val="008E5AF7"/>
    <w:rsid w:val="008E7C2C"/>
    <w:rsid w:val="008F0B77"/>
    <w:rsid w:val="00902758"/>
    <w:rsid w:val="00926049"/>
    <w:rsid w:val="00926814"/>
    <w:rsid w:val="00926A41"/>
    <w:rsid w:val="00937608"/>
    <w:rsid w:val="00946259"/>
    <w:rsid w:val="0094789D"/>
    <w:rsid w:val="00950E8D"/>
    <w:rsid w:val="00952511"/>
    <w:rsid w:val="0096374F"/>
    <w:rsid w:val="009646FD"/>
    <w:rsid w:val="00980B32"/>
    <w:rsid w:val="009820BA"/>
    <w:rsid w:val="00984C7C"/>
    <w:rsid w:val="00991160"/>
    <w:rsid w:val="0099296B"/>
    <w:rsid w:val="009A2D77"/>
    <w:rsid w:val="009B7A4B"/>
    <w:rsid w:val="009C2909"/>
    <w:rsid w:val="009D1555"/>
    <w:rsid w:val="009D3DDC"/>
    <w:rsid w:val="009D6026"/>
    <w:rsid w:val="009D69D8"/>
    <w:rsid w:val="009E32C8"/>
    <w:rsid w:val="009F37F7"/>
    <w:rsid w:val="00A04A93"/>
    <w:rsid w:val="00A314EF"/>
    <w:rsid w:val="00A33314"/>
    <w:rsid w:val="00A420F3"/>
    <w:rsid w:val="00A45672"/>
    <w:rsid w:val="00A47380"/>
    <w:rsid w:val="00A63611"/>
    <w:rsid w:val="00A66CEF"/>
    <w:rsid w:val="00A940B1"/>
    <w:rsid w:val="00A97806"/>
    <w:rsid w:val="00AA0AE0"/>
    <w:rsid w:val="00AB25D1"/>
    <w:rsid w:val="00AC73A0"/>
    <w:rsid w:val="00AD306A"/>
    <w:rsid w:val="00AD7C02"/>
    <w:rsid w:val="00AE2E28"/>
    <w:rsid w:val="00AE36ED"/>
    <w:rsid w:val="00AE73E7"/>
    <w:rsid w:val="00AF2C23"/>
    <w:rsid w:val="00AF4548"/>
    <w:rsid w:val="00B2489E"/>
    <w:rsid w:val="00B31E2C"/>
    <w:rsid w:val="00B460A0"/>
    <w:rsid w:val="00B46F62"/>
    <w:rsid w:val="00B471A3"/>
    <w:rsid w:val="00B55BDF"/>
    <w:rsid w:val="00B6220A"/>
    <w:rsid w:val="00B775CD"/>
    <w:rsid w:val="00B80D40"/>
    <w:rsid w:val="00B905AB"/>
    <w:rsid w:val="00B923FE"/>
    <w:rsid w:val="00B946BA"/>
    <w:rsid w:val="00BA1D7A"/>
    <w:rsid w:val="00BB02F9"/>
    <w:rsid w:val="00BB0B60"/>
    <w:rsid w:val="00BB0EC7"/>
    <w:rsid w:val="00BB1D0E"/>
    <w:rsid w:val="00BC67E7"/>
    <w:rsid w:val="00BD4137"/>
    <w:rsid w:val="00BF0245"/>
    <w:rsid w:val="00C11D35"/>
    <w:rsid w:val="00C21164"/>
    <w:rsid w:val="00C253A9"/>
    <w:rsid w:val="00C26274"/>
    <w:rsid w:val="00C276A8"/>
    <w:rsid w:val="00C5058E"/>
    <w:rsid w:val="00C57AC5"/>
    <w:rsid w:val="00C70AB2"/>
    <w:rsid w:val="00C80B7B"/>
    <w:rsid w:val="00C90505"/>
    <w:rsid w:val="00C95283"/>
    <w:rsid w:val="00C971C0"/>
    <w:rsid w:val="00CA0356"/>
    <w:rsid w:val="00CA2550"/>
    <w:rsid w:val="00CA2562"/>
    <w:rsid w:val="00CB6AEA"/>
    <w:rsid w:val="00CC6E4F"/>
    <w:rsid w:val="00CD0A2D"/>
    <w:rsid w:val="00CD3945"/>
    <w:rsid w:val="00D035B1"/>
    <w:rsid w:val="00D10048"/>
    <w:rsid w:val="00D354EE"/>
    <w:rsid w:val="00D4270E"/>
    <w:rsid w:val="00D43346"/>
    <w:rsid w:val="00D45338"/>
    <w:rsid w:val="00D56F40"/>
    <w:rsid w:val="00D7058D"/>
    <w:rsid w:val="00D827FA"/>
    <w:rsid w:val="00DA390C"/>
    <w:rsid w:val="00DA7818"/>
    <w:rsid w:val="00DA7CED"/>
    <w:rsid w:val="00DB5307"/>
    <w:rsid w:val="00DD04B1"/>
    <w:rsid w:val="00DD7E0E"/>
    <w:rsid w:val="00DE087B"/>
    <w:rsid w:val="00DE3592"/>
    <w:rsid w:val="00DE7D84"/>
    <w:rsid w:val="00DF1960"/>
    <w:rsid w:val="00DF74A9"/>
    <w:rsid w:val="00E06262"/>
    <w:rsid w:val="00E15AFC"/>
    <w:rsid w:val="00E20A46"/>
    <w:rsid w:val="00E214DD"/>
    <w:rsid w:val="00E507AB"/>
    <w:rsid w:val="00E57860"/>
    <w:rsid w:val="00E630B8"/>
    <w:rsid w:val="00E74BAF"/>
    <w:rsid w:val="00E76D12"/>
    <w:rsid w:val="00E85EE0"/>
    <w:rsid w:val="00E905B8"/>
    <w:rsid w:val="00E93F8C"/>
    <w:rsid w:val="00EA5AAC"/>
    <w:rsid w:val="00EB16F5"/>
    <w:rsid w:val="00EB2643"/>
    <w:rsid w:val="00EB38EB"/>
    <w:rsid w:val="00EC032E"/>
    <w:rsid w:val="00EC0F23"/>
    <w:rsid w:val="00EC4682"/>
    <w:rsid w:val="00ED169D"/>
    <w:rsid w:val="00EE69E5"/>
    <w:rsid w:val="00EE7585"/>
    <w:rsid w:val="00EF790A"/>
    <w:rsid w:val="00F03F41"/>
    <w:rsid w:val="00F13FBD"/>
    <w:rsid w:val="00F27400"/>
    <w:rsid w:val="00F32A5C"/>
    <w:rsid w:val="00F535C7"/>
    <w:rsid w:val="00F57251"/>
    <w:rsid w:val="00F60EC5"/>
    <w:rsid w:val="00F747D3"/>
    <w:rsid w:val="00F81F1E"/>
    <w:rsid w:val="00F84183"/>
    <w:rsid w:val="00F901EA"/>
    <w:rsid w:val="00FA06B9"/>
    <w:rsid w:val="00FA0743"/>
    <w:rsid w:val="00FA2412"/>
    <w:rsid w:val="00FA6BAA"/>
    <w:rsid w:val="00FD2266"/>
    <w:rsid w:val="00FD4A0A"/>
    <w:rsid w:val="00FE2FBC"/>
    <w:rsid w:val="00FE6589"/>
    <w:rsid w:val="00FE7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621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4F"/>
  </w:style>
  <w:style w:type="paragraph" w:styleId="Heading1">
    <w:name w:val="heading 1"/>
    <w:basedOn w:val="Normal"/>
    <w:next w:val="Normal"/>
    <w:link w:val="Heading1Char"/>
    <w:uiPriority w:val="9"/>
    <w:qFormat/>
    <w:rsid w:val="003B3078"/>
    <w:pPr>
      <w:keepNext/>
      <w:keepLines/>
      <w:spacing w:before="36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3B3078"/>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3B3078"/>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AD306A"/>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semiHidden/>
    <w:unhideWhenUsed/>
    <w:qFormat/>
    <w:rsid w:val="00AD306A"/>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semiHidden/>
    <w:unhideWhenUsed/>
    <w:qFormat/>
    <w:rsid w:val="00AD306A"/>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5B9"/>
    <w:rPr>
      <w:rFonts w:asciiTheme="majorHAnsi" w:eastAsiaTheme="majorEastAsia" w:hAnsiTheme="majorHAnsi" w:cstheme="majorBidi"/>
      <w:color w:val="005677" w:themeColor="text2"/>
      <w:sz w:val="48"/>
      <w:szCs w:val="32"/>
    </w:rPr>
  </w:style>
  <w:style w:type="paragraph" w:styleId="ListParagraph">
    <w:name w:val="List Paragraph"/>
    <w:aliases w:val="Heading 2."/>
    <w:basedOn w:val="Normal"/>
    <w:link w:val="ListParagraphChar"/>
    <w:uiPriority w:val="34"/>
    <w:qFormat/>
    <w:rsid w:val="00A04A93"/>
    <w:pPr>
      <w:numPr>
        <w:numId w:val="32"/>
      </w:numPr>
      <w:contextualSpacing/>
    </w:pPr>
  </w:style>
  <w:style w:type="character" w:customStyle="1" w:styleId="Heading2Char">
    <w:name w:val="Heading 2 Char"/>
    <w:basedOn w:val="DefaultParagraphFont"/>
    <w:link w:val="Heading2"/>
    <w:uiPriority w:val="9"/>
    <w:rsid w:val="00E93F8C"/>
    <w:rPr>
      <w:rFonts w:asciiTheme="majorHAnsi" w:eastAsiaTheme="majorEastAsia" w:hAnsiTheme="majorHAnsi" w:cstheme="majorBidi"/>
      <w:color w:val="005677" w:themeColor="text2"/>
      <w:sz w:val="40"/>
      <w:szCs w:val="48"/>
    </w:rPr>
  </w:style>
  <w:style w:type="table" w:styleId="TableGrid">
    <w:name w:val="Table Grid"/>
    <w:basedOn w:val="TableNormal"/>
    <w:uiPriority w:val="39"/>
    <w:rsid w:val="0031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E4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A0743"/>
    <w:rPr>
      <w:rFonts w:asciiTheme="majorHAnsi" w:eastAsiaTheme="majorEastAsia" w:hAnsiTheme="majorHAnsi" w:cstheme="majorBidi"/>
      <w:color w:val="005677" w:themeColor="text2"/>
      <w:sz w:val="32"/>
      <w:szCs w:val="40"/>
    </w:rPr>
  </w:style>
  <w:style w:type="character" w:styleId="CommentReference">
    <w:name w:val="annotation reference"/>
    <w:basedOn w:val="DefaultParagraphFont"/>
    <w:uiPriority w:val="99"/>
    <w:semiHidden/>
    <w:unhideWhenUsed/>
    <w:rsid w:val="009646FD"/>
    <w:rPr>
      <w:sz w:val="16"/>
      <w:szCs w:val="16"/>
    </w:rPr>
  </w:style>
  <w:style w:type="paragraph" w:styleId="CommentText">
    <w:name w:val="annotation text"/>
    <w:basedOn w:val="Normal"/>
    <w:link w:val="CommentTextChar"/>
    <w:uiPriority w:val="99"/>
    <w:semiHidden/>
    <w:unhideWhenUsed/>
    <w:rsid w:val="009646FD"/>
    <w:pPr>
      <w:spacing w:line="240" w:lineRule="auto"/>
    </w:pPr>
    <w:rPr>
      <w:sz w:val="20"/>
      <w:szCs w:val="20"/>
    </w:rPr>
  </w:style>
  <w:style w:type="character" w:customStyle="1" w:styleId="CommentTextChar">
    <w:name w:val="Comment Text Char"/>
    <w:basedOn w:val="DefaultParagraphFont"/>
    <w:link w:val="CommentText"/>
    <w:uiPriority w:val="99"/>
    <w:semiHidden/>
    <w:rsid w:val="009646FD"/>
    <w:rPr>
      <w:sz w:val="20"/>
      <w:szCs w:val="20"/>
    </w:rPr>
  </w:style>
  <w:style w:type="paragraph" w:styleId="CommentSubject">
    <w:name w:val="annotation subject"/>
    <w:basedOn w:val="CommentText"/>
    <w:next w:val="CommentText"/>
    <w:link w:val="CommentSubjectChar"/>
    <w:uiPriority w:val="99"/>
    <w:semiHidden/>
    <w:unhideWhenUsed/>
    <w:rsid w:val="009646FD"/>
    <w:rPr>
      <w:b/>
      <w:bCs/>
    </w:rPr>
  </w:style>
  <w:style w:type="character" w:customStyle="1" w:styleId="CommentSubjectChar">
    <w:name w:val="Comment Subject Char"/>
    <w:basedOn w:val="CommentTextChar"/>
    <w:link w:val="CommentSubject"/>
    <w:uiPriority w:val="99"/>
    <w:semiHidden/>
    <w:rsid w:val="009646FD"/>
    <w:rPr>
      <w:b/>
      <w:bCs/>
      <w:sz w:val="20"/>
      <w:szCs w:val="20"/>
    </w:rPr>
  </w:style>
  <w:style w:type="paragraph" w:styleId="BalloonText">
    <w:name w:val="Balloon Text"/>
    <w:basedOn w:val="Normal"/>
    <w:link w:val="BalloonTextChar"/>
    <w:uiPriority w:val="99"/>
    <w:semiHidden/>
    <w:unhideWhenUsed/>
    <w:rsid w:val="0096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FD"/>
    <w:rPr>
      <w:rFonts w:ascii="Segoe UI" w:hAnsi="Segoe UI" w:cs="Segoe UI"/>
      <w:sz w:val="18"/>
      <w:szCs w:val="18"/>
    </w:rPr>
  </w:style>
  <w:style w:type="character" w:styleId="Hyperlink">
    <w:name w:val="Hyperlink"/>
    <w:basedOn w:val="DefaultParagraphFont"/>
    <w:uiPriority w:val="99"/>
    <w:unhideWhenUsed/>
    <w:rsid w:val="00023307"/>
    <w:rPr>
      <w:color w:val="0070AE" w:themeColor="hyperlink"/>
      <w:u w:val="single"/>
    </w:rPr>
  </w:style>
  <w:style w:type="paragraph" w:styleId="BodyText">
    <w:name w:val="Body Text"/>
    <w:basedOn w:val="Normal"/>
    <w:link w:val="BodyTextChar"/>
    <w:uiPriority w:val="99"/>
    <w:unhideWhenUsed/>
    <w:rsid w:val="00274D8F"/>
    <w:pPr>
      <w:spacing w:after="120"/>
    </w:pPr>
  </w:style>
  <w:style w:type="character" w:customStyle="1" w:styleId="BodyTextChar">
    <w:name w:val="Body Text Char"/>
    <w:basedOn w:val="DefaultParagraphFont"/>
    <w:link w:val="BodyText"/>
    <w:uiPriority w:val="99"/>
    <w:rsid w:val="00274D8F"/>
  </w:style>
  <w:style w:type="table" w:styleId="GridTable5Dark-Accent2">
    <w:name w:val="Grid Table 5 Dark Accent 2"/>
    <w:basedOn w:val="TableNormal"/>
    <w:uiPriority w:val="50"/>
    <w:rsid w:val="00274D8F"/>
    <w:pPr>
      <w:spacing w:after="0" w:line="240" w:lineRule="auto"/>
    </w:pPr>
    <w:rPr>
      <w:color w:val="262626" w:themeColor="text1" w:themeTint="D9"/>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D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3E" w:themeFill="accent2"/>
      </w:tcPr>
    </w:tblStylePr>
    <w:tblStylePr w:type="band1Vert">
      <w:tblPr/>
      <w:tcPr>
        <w:shd w:val="clear" w:color="auto" w:fill="4BBFFF" w:themeFill="accent2" w:themeFillTint="66"/>
      </w:tcPr>
    </w:tblStylePr>
    <w:tblStylePr w:type="band1Horz">
      <w:tblPr/>
      <w:tcPr>
        <w:shd w:val="clear" w:color="auto" w:fill="4BBFFF" w:themeFill="accent2" w:themeFillTint="66"/>
      </w:tcPr>
    </w:tblStylePr>
  </w:style>
  <w:style w:type="character" w:customStyle="1" w:styleId="ListParagraphChar">
    <w:name w:val="List Paragraph Char"/>
    <w:aliases w:val="Heading 2. Char"/>
    <w:basedOn w:val="DefaultParagraphFont"/>
    <w:link w:val="ListParagraph"/>
    <w:uiPriority w:val="34"/>
    <w:locked/>
    <w:rsid w:val="00274D8F"/>
  </w:style>
  <w:style w:type="table" w:customStyle="1" w:styleId="GridTable5Dark-Accent21">
    <w:name w:val="Grid Table 5 Dark - Accent 21"/>
    <w:basedOn w:val="TableNormal"/>
    <w:next w:val="GridTable5Dark-Accent2"/>
    <w:uiPriority w:val="50"/>
    <w:rsid w:val="00274D8F"/>
    <w:pPr>
      <w:spacing w:after="0" w:line="240" w:lineRule="auto"/>
    </w:pPr>
    <w:rPr>
      <w:color w:val="262626" w:themeColor="text1" w:themeTint="D9"/>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D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3E" w:themeFill="accent2"/>
      </w:tcPr>
    </w:tblStylePr>
    <w:tblStylePr w:type="band1Vert">
      <w:tblPr/>
      <w:tcPr>
        <w:shd w:val="clear" w:color="auto" w:fill="4BBFFF" w:themeFill="accent2" w:themeFillTint="66"/>
      </w:tcPr>
    </w:tblStylePr>
    <w:tblStylePr w:type="band1Horz">
      <w:tblPr/>
      <w:tcPr>
        <w:shd w:val="clear" w:color="auto" w:fill="4BBFFF" w:themeFill="accent2" w:themeFillTint="66"/>
      </w:tcPr>
    </w:tblStylePr>
  </w:style>
  <w:style w:type="paragraph" w:customStyle="1" w:styleId="Links">
    <w:name w:val="Links"/>
    <w:basedOn w:val="BodyText"/>
    <w:link w:val="LinksChar"/>
    <w:uiPriority w:val="11"/>
    <w:rsid w:val="00C253A9"/>
    <w:pPr>
      <w:spacing w:line="264" w:lineRule="auto"/>
    </w:pPr>
    <w:rPr>
      <w:color w:val="1B9590" w:themeColor="accent3"/>
      <w:sz w:val="20"/>
      <w:szCs w:val="20"/>
      <w:u w:val="single"/>
    </w:rPr>
  </w:style>
  <w:style w:type="character" w:customStyle="1" w:styleId="LinksChar">
    <w:name w:val="Links Char"/>
    <w:basedOn w:val="BodyTextChar"/>
    <w:link w:val="Links"/>
    <w:uiPriority w:val="11"/>
    <w:rsid w:val="00274D8F"/>
    <w:rPr>
      <w:color w:val="1B9590" w:themeColor="accent3"/>
      <w:sz w:val="20"/>
      <w:szCs w:val="20"/>
      <w:u w:val="single"/>
    </w:rPr>
  </w:style>
  <w:style w:type="character" w:styleId="FollowedHyperlink">
    <w:name w:val="FollowedHyperlink"/>
    <w:basedOn w:val="DefaultParagraphFont"/>
    <w:uiPriority w:val="99"/>
    <w:semiHidden/>
    <w:unhideWhenUsed/>
    <w:rsid w:val="002A2227"/>
    <w:rPr>
      <w:color w:val="551A8B" w:themeColor="followedHyperlink"/>
      <w:u w:val="single"/>
    </w:rPr>
  </w:style>
  <w:style w:type="paragraph" w:styleId="Revision">
    <w:name w:val="Revision"/>
    <w:hidden/>
    <w:uiPriority w:val="99"/>
    <w:semiHidden/>
    <w:rsid w:val="004724B6"/>
    <w:pPr>
      <w:spacing w:after="0" w:line="240" w:lineRule="auto"/>
    </w:pPr>
  </w:style>
  <w:style w:type="paragraph" w:styleId="Header">
    <w:name w:val="header"/>
    <w:basedOn w:val="Normal"/>
    <w:link w:val="HeaderChar"/>
    <w:uiPriority w:val="99"/>
    <w:unhideWhenUsed/>
    <w:rsid w:val="00AD3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06A"/>
  </w:style>
  <w:style w:type="paragraph" w:styleId="Footer">
    <w:name w:val="footer"/>
    <w:basedOn w:val="Normal"/>
    <w:link w:val="FooterChar"/>
    <w:uiPriority w:val="99"/>
    <w:unhideWhenUsed/>
    <w:rsid w:val="00AD3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06A"/>
  </w:style>
  <w:style w:type="character" w:customStyle="1" w:styleId="Heading4Char">
    <w:name w:val="Heading 4 Char"/>
    <w:basedOn w:val="DefaultParagraphFont"/>
    <w:link w:val="Heading4"/>
    <w:uiPriority w:val="9"/>
    <w:rsid w:val="00AD306A"/>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semiHidden/>
    <w:rsid w:val="00AD306A"/>
    <w:rPr>
      <w:rFonts w:asciiTheme="majorHAnsi" w:eastAsiaTheme="majorEastAsia" w:hAnsiTheme="majorHAnsi" w:cstheme="majorBidi"/>
      <w:color w:val="005677" w:themeColor="text2"/>
      <w:sz w:val="26"/>
      <w:szCs w:val="26"/>
    </w:rPr>
  </w:style>
  <w:style w:type="character" w:customStyle="1" w:styleId="Heading6Char">
    <w:name w:val="Heading 6 Char"/>
    <w:basedOn w:val="DefaultParagraphFont"/>
    <w:link w:val="Heading6"/>
    <w:uiPriority w:val="9"/>
    <w:semiHidden/>
    <w:rsid w:val="00AD306A"/>
    <w:rPr>
      <w:rFonts w:asciiTheme="majorHAnsi" w:eastAsiaTheme="majorEastAsia" w:hAnsiTheme="majorHAnsi" w:cstheme="majorBidi"/>
      <w:color w:val="005677" w:themeColor="text2"/>
    </w:rPr>
  </w:style>
  <w:style w:type="paragraph" w:customStyle="1" w:styleId="Address">
    <w:name w:val="Address"/>
    <w:basedOn w:val="Subtitle"/>
    <w:qFormat/>
    <w:rsid w:val="00AD306A"/>
    <w:pPr>
      <w:spacing w:after="0"/>
    </w:pPr>
    <w:rPr>
      <w:sz w:val="24"/>
    </w:rPr>
  </w:style>
  <w:style w:type="paragraph" w:styleId="Subtitle">
    <w:name w:val="Subtitle"/>
    <w:basedOn w:val="Normal"/>
    <w:next w:val="Normal"/>
    <w:link w:val="SubtitleChar"/>
    <w:uiPriority w:val="11"/>
    <w:qFormat/>
    <w:rsid w:val="00AD306A"/>
    <w:pPr>
      <w:numPr>
        <w:ilvl w:val="1"/>
      </w:numPr>
    </w:pPr>
    <w:rPr>
      <w:rFonts w:eastAsiaTheme="minorEastAsia"/>
      <w:color w:val="58595B" w:themeColor="background2"/>
      <w:sz w:val="32"/>
    </w:rPr>
  </w:style>
  <w:style w:type="character" w:customStyle="1" w:styleId="SubtitleChar">
    <w:name w:val="Subtitle Char"/>
    <w:basedOn w:val="DefaultParagraphFont"/>
    <w:link w:val="Subtitle"/>
    <w:uiPriority w:val="11"/>
    <w:rsid w:val="00AD306A"/>
    <w:rPr>
      <w:rFonts w:eastAsiaTheme="minorEastAsia"/>
      <w:color w:val="58595B" w:themeColor="background2"/>
      <w:sz w:val="32"/>
    </w:rPr>
  </w:style>
  <w:style w:type="paragraph" w:customStyle="1" w:styleId="Calloutbox">
    <w:name w:val="Call out box"/>
    <w:basedOn w:val="Normal"/>
    <w:qFormat/>
    <w:rsid w:val="00AD306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paragraph" w:styleId="Caption">
    <w:name w:val="caption"/>
    <w:basedOn w:val="Normal"/>
    <w:next w:val="Normal"/>
    <w:uiPriority w:val="35"/>
    <w:semiHidden/>
    <w:unhideWhenUsed/>
    <w:qFormat/>
    <w:rsid w:val="00AD306A"/>
    <w:pPr>
      <w:spacing w:after="120" w:line="240" w:lineRule="auto"/>
    </w:pPr>
    <w:rPr>
      <w:i/>
      <w:iCs/>
      <w:color w:val="005677" w:themeColor="text2"/>
      <w:szCs w:val="18"/>
    </w:rPr>
  </w:style>
  <w:style w:type="paragraph" w:styleId="Title">
    <w:name w:val="Title"/>
    <w:basedOn w:val="Normal"/>
    <w:next w:val="Normal"/>
    <w:link w:val="TitleChar"/>
    <w:uiPriority w:val="10"/>
    <w:qFormat/>
    <w:rsid w:val="00AD306A"/>
    <w:pPr>
      <w:pBdr>
        <w:bottom w:val="single" w:sz="8" w:space="1" w:color="005677" w:themeColor="text2"/>
      </w:pBdr>
      <w:spacing w:before="360" w:after="120" w:line="240" w:lineRule="auto"/>
      <w:contextualSpacing/>
      <w:outlineLvl w:val="0"/>
    </w:pPr>
    <w:rPr>
      <w:rFonts w:asciiTheme="majorHAnsi" w:eastAsiaTheme="majorEastAsia" w:hAnsiTheme="majorHAnsi" w:cstheme="majorBidi"/>
      <w:color w:val="005677" w:themeColor="text2"/>
      <w:spacing w:val="-10"/>
      <w:kern w:val="28"/>
      <w:sz w:val="56"/>
      <w:szCs w:val="72"/>
    </w:rPr>
  </w:style>
  <w:style w:type="character" w:customStyle="1" w:styleId="TitleChar">
    <w:name w:val="Title Char"/>
    <w:basedOn w:val="DefaultParagraphFont"/>
    <w:link w:val="Title"/>
    <w:uiPriority w:val="10"/>
    <w:rsid w:val="00AD306A"/>
    <w:rPr>
      <w:rFonts w:asciiTheme="majorHAnsi" w:eastAsiaTheme="majorEastAsia" w:hAnsiTheme="majorHAnsi" w:cstheme="majorBidi"/>
      <w:color w:val="005677" w:themeColor="text2"/>
      <w:spacing w:val="-10"/>
      <w:kern w:val="28"/>
      <w:sz w:val="56"/>
      <w:szCs w:val="72"/>
    </w:rPr>
  </w:style>
  <w:style w:type="character" w:styleId="Strong">
    <w:name w:val="Strong"/>
    <w:basedOn w:val="DefaultParagraphFont"/>
    <w:uiPriority w:val="22"/>
    <w:qFormat/>
    <w:rsid w:val="00AD306A"/>
    <w:rPr>
      <w:b/>
      <w:bCs/>
    </w:rPr>
  </w:style>
  <w:style w:type="character" w:styleId="Emphasis">
    <w:name w:val="Emphasis"/>
    <w:basedOn w:val="DefaultParagraphFont"/>
    <w:uiPriority w:val="20"/>
    <w:qFormat/>
    <w:rsid w:val="00AD306A"/>
    <w:rPr>
      <w:i/>
      <w:iCs/>
    </w:rPr>
  </w:style>
  <w:style w:type="paragraph" w:styleId="NoSpacing">
    <w:name w:val="No Spacing"/>
    <w:link w:val="NoSpacingChar"/>
    <w:uiPriority w:val="1"/>
    <w:qFormat/>
    <w:rsid w:val="00AD30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306A"/>
    <w:rPr>
      <w:rFonts w:eastAsiaTheme="minorEastAsia"/>
      <w:lang w:val="en-US"/>
    </w:rPr>
  </w:style>
  <w:style w:type="paragraph" w:styleId="Quote">
    <w:name w:val="Quote"/>
    <w:basedOn w:val="Normal"/>
    <w:next w:val="Normal"/>
    <w:link w:val="QuoteChar"/>
    <w:uiPriority w:val="29"/>
    <w:qFormat/>
    <w:rsid w:val="00AD306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AD306A"/>
    <w:rPr>
      <w:i/>
      <w:iCs/>
      <w:color w:val="000000" w:themeColor="text1"/>
      <w:szCs w:val="24"/>
    </w:rPr>
  </w:style>
  <w:style w:type="paragraph" w:styleId="IntenseQuote">
    <w:name w:val="Intense Quote"/>
    <w:basedOn w:val="Normal"/>
    <w:next w:val="Normal"/>
    <w:link w:val="IntenseQuoteChar"/>
    <w:uiPriority w:val="30"/>
    <w:qFormat/>
    <w:rsid w:val="00AD306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AD306A"/>
    <w:rPr>
      <w:i/>
      <w:iCs/>
      <w:shd w:val="clear" w:color="auto" w:fill="DFF3F3" w:themeFill="accent4" w:themeFillTint="33"/>
    </w:rPr>
  </w:style>
  <w:style w:type="paragraph" w:styleId="TOCHeading">
    <w:name w:val="TOC Heading"/>
    <w:basedOn w:val="Heading1"/>
    <w:next w:val="Normal"/>
    <w:uiPriority w:val="39"/>
    <w:semiHidden/>
    <w:unhideWhenUsed/>
    <w:qFormat/>
    <w:rsid w:val="00AD306A"/>
    <w:pPr>
      <w:spacing w:after="480"/>
      <w:outlineLvl w:val="9"/>
    </w:pPr>
    <w:rPr>
      <w:lang w:val="en-US"/>
    </w:rPr>
  </w:style>
  <w:style w:type="character" w:styleId="PlaceholderText">
    <w:name w:val="Placeholder Text"/>
    <w:basedOn w:val="DefaultParagraphFont"/>
    <w:uiPriority w:val="99"/>
    <w:semiHidden/>
    <w:rsid w:val="00446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lynation.org.au/" TargetMode="External"/><Relationship Id="rId13" Type="http://schemas.openxmlformats.org/officeDocument/2006/relationships/hyperlink" Target="https://www.atns.net.au/native-title-agreements" TargetMode="External"/><Relationship Id="rId18" Type="http://schemas.openxmlformats.org/officeDocument/2006/relationships/hyperlink" Target="https://www.oric.gov.au/" TargetMode="External"/><Relationship Id="rId26" Type="http://schemas.openxmlformats.org/officeDocument/2006/relationships/hyperlink" Target="https://jobsearch.gov.au/serviceproviders/search?emp=1"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iaa.gov.au/contact-us/regional-network-addresses" TargetMode="External"/><Relationship Id="rId34" Type="http://schemas.openxmlformats.org/officeDocument/2006/relationships/footer" Target="footer1.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ntt.gov.au/searchRegApps/NativeTitleRegisters/Pages/Search-Register-of-Native-Title-Claims.aspx" TargetMode="External"/><Relationship Id="rId17" Type="http://schemas.openxmlformats.org/officeDocument/2006/relationships/hyperlink" Target="https://www.oric.gov.au/" TargetMode="External"/><Relationship Id="rId25" Type="http://schemas.openxmlformats.org/officeDocument/2006/relationships/hyperlink" Target="https://jobsearch.gov.au/serviceproviders/search?emp=1"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ata-nntt.opendata.arcgis.com/datasets/2698667a86e54550b732174a71c3bc57_0/explore?location=-31.427957%2C119.555220%2C4.38" TargetMode="External"/><Relationship Id="rId20" Type="http://schemas.openxmlformats.org/officeDocument/2006/relationships/hyperlink" Target="https://nativetitle.org.au/find/pbc" TargetMode="External"/><Relationship Id="rId29" Type="http://schemas.openxmlformats.org/officeDocument/2006/relationships/hyperlink" Target="https://www.niaa.gov.au/indigenous-affairs/employment/tailored-assistance-employment-grantshttps:/www.niaa.gov.au/indigenous-affairs/employment/tailored-assistance-employment-gra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ntt.opendata.arcgis.com/datasets/2698667a86e54550b732174a71c3bc57_8/explore?location=-16.134805%2C146.196334%2C5.83" TargetMode="External"/><Relationship Id="rId24" Type="http://schemas.openxmlformats.org/officeDocument/2006/relationships/hyperlink" Target="https://jobsearch.gov.au/employers/job"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hyperlink" Target="https://www.niaa.gov.au/indigenous-affairs/land-and-housing/native-title-representative-bodies-and-service-providers" TargetMode="External"/><Relationship Id="rId23" Type="http://schemas.openxmlformats.org/officeDocument/2006/relationships/hyperlink" Target="https://aus01.safelinks.protection.outlook.com/?url=https%3A%2F%2Fsupplynation.org.au%2F&amp;data=04%7C01%7Cvanessa.munro%40supplynation.org.au%7C1e4b0471dda24f7202c808d90b7214a3%7C4080a547bec447a2b3be5e7d7967d126%7C0%7C0%7C637553406881885814%7CUnknown%7CTWFpbGZsb3d8eyJWIjoiMC4wLjAwMDAiLCJQIjoiV2luMzIiLCJBTiI6Ik1haWwiLCJXVCI6Mn0%3D%7C1000&amp;sdata=jGcHgUNi2br18E8AYJHdYo2FhlaGRhlADahd5QExG34%3D&amp;reserved=0" TargetMode="External"/><Relationship Id="rId28" Type="http://schemas.openxmlformats.org/officeDocument/2006/relationships/hyperlink" Target="https://www.niaa.gov.au/indigenous-affairs/employment/vocational-training-and-employment-centres-vtecs" TargetMode="External"/><Relationship Id="rId36" Type="http://schemas.openxmlformats.org/officeDocument/2006/relationships/header" Target="header3.xml"/><Relationship Id="rId10" Type="http://schemas.openxmlformats.org/officeDocument/2006/relationships/hyperlink" Target="https://www4.abs.gov.au/web/survey.nsf/contactform" TargetMode="External"/><Relationship Id="rId19" Type="http://schemas.openxmlformats.org/officeDocument/2006/relationships/hyperlink" Target="http://www.nntt.gov.au/Maps/Determinations_and_PBCs_map.pdf" TargetMode="External"/><Relationship Id="rId31" Type="http://schemas.openxmlformats.org/officeDocument/2006/relationships/hyperlink" Target="http://www.nntt.gov.au/Pages/Glossary.aspx" TargetMode="External"/><Relationship Id="rId4" Type="http://schemas.openxmlformats.org/officeDocument/2006/relationships/settings" Target="settings.xml"/><Relationship Id="rId9" Type="http://schemas.openxmlformats.org/officeDocument/2006/relationships/hyperlink" Target="https://www.oric.gov.au/" TargetMode="External"/><Relationship Id="rId14" Type="http://schemas.openxmlformats.org/officeDocument/2006/relationships/hyperlink" Target="http://www.nntt.gov.au/Maps/RATSIB_map.pdf" TargetMode="External"/><Relationship Id="rId22" Type="http://schemas.openxmlformats.org/officeDocument/2006/relationships/hyperlink" Target="https://www.reconciliation.org.au/reconciliation-action-plans/" TargetMode="External"/><Relationship Id="rId27" Type="http://schemas.openxmlformats.org/officeDocument/2006/relationships/hyperlink" Target="https://jobsearch.gov.au/serviceproviders/search?emp=1" TargetMode="External"/><Relationship Id="rId30" Type="http://schemas.openxmlformats.org/officeDocument/2006/relationships/hyperlink" Target="https://www.niaa.gov.au/indigenous-affairs/employment/indigenous-cadetship-support" TargetMode="External"/><Relationship Id="rId35" Type="http://schemas.openxmlformats.org/officeDocument/2006/relationships/footer" Target="footer2.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A8"/>
    <w:rsid w:val="002E0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EC3798142D43E78DB30F455E53B0B2">
    <w:name w:val="A2EC3798142D43E78DB30F455E53B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EE01-DDB1-4F49-A93B-C017099B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3046</Words>
  <Characters>18889</Characters>
  <Application>Microsoft Office Word</Application>
  <DocSecurity>0</DocSecurity>
  <Lines>497</Lines>
  <Paragraphs>163</Paragraphs>
  <ScaleCrop>false</ScaleCrop>
  <HeadingPairs>
    <vt:vector size="2" baseType="variant">
      <vt:variant>
        <vt:lpstr>Title</vt:lpstr>
      </vt:variant>
      <vt:variant>
        <vt:i4>1</vt:i4>
      </vt:variant>
    </vt:vector>
  </HeadingPairs>
  <TitlesOfParts>
    <vt:vector size="1" baseType="lpstr">
      <vt:lpstr>Draft Aboriginal and Torres Strait Islander engagement and participation plan Template and guidance</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Aboriginal and Torres Strait Islander engagement and participation plan Template and guidance</dc:title>
  <dc:subject/>
  <dc:creator/>
  <cp:keywords/>
  <dc:description/>
  <cp:lastModifiedBy/>
  <cp:revision>1</cp:revision>
  <dcterms:created xsi:type="dcterms:W3CDTF">2021-06-30T02:39:00Z</dcterms:created>
  <dcterms:modified xsi:type="dcterms:W3CDTF">2021-06-30T02:41:00Z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