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3D55" w14:textId="77777777" w:rsidR="00B61914" w:rsidRPr="00780F7E" w:rsidRDefault="007A6682" w:rsidP="007623C4">
      <w:pPr>
        <w:pStyle w:val="Heading1"/>
        <w:rPr>
          <w:b w:val="0"/>
        </w:rPr>
      </w:pPr>
      <w:r>
        <w:t>OFFSHORE MINERALS ACT 1994</w:t>
      </w:r>
    </w:p>
    <w:p w14:paraId="2B153D56" w14:textId="77777777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project </w:t>
      </w:r>
      <w:r w:rsidR="007A6682">
        <w:rPr>
          <w:rFonts w:ascii="Georgia" w:hAnsi="Georgia" w:cs="Arial"/>
          <w:i/>
          <w:color w:val="808080"/>
          <w:sz w:val="28"/>
        </w:rPr>
        <w:t>involves the exploration and mining of minerals in Commonwealth waters, you must obtain an Offshore Mineral Licence.</w:t>
      </w:r>
    </w:p>
    <w:p w14:paraId="2B153D57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2B153D58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153D59" w14:textId="77777777" w:rsidR="00B61914" w:rsidRPr="00F32320" w:rsidRDefault="00B61914" w:rsidP="002863A0">
      <w:pPr>
        <w:pStyle w:val="Heading2"/>
        <w:numPr>
          <w:ilvl w:val="0"/>
          <w:numId w:val="1"/>
        </w:numPr>
        <w:spacing w:before="0"/>
        <w:ind w:left="284" w:hanging="284"/>
      </w:pPr>
      <w:r w:rsidRPr="00F32320">
        <w:t xml:space="preserve">What approvals </w:t>
      </w:r>
      <w:r w:rsidR="00B40DE4" w:rsidRPr="00F32320">
        <w:t>do I need</w:t>
      </w:r>
      <w:r w:rsidRPr="00F32320">
        <w:t>?</w:t>
      </w:r>
    </w:p>
    <w:p w14:paraId="2B153D5B" w14:textId="7DFD3C0F" w:rsidR="00A84C18" w:rsidRDefault="00A84C18" w:rsidP="002863A0">
      <w:pPr>
        <w:spacing w:after="120"/>
        <w:rPr>
          <w:rFonts w:ascii="Arial" w:hAnsi="Arial" w:cs="Arial"/>
          <w:sz w:val="20"/>
        </w:rPr>
      </w:pPr>
      <w:r w:rsidRPr="00A84C18">
        <w:rPr>
          <w:rFonts w:ascii="Arial" w:hAnsi="Arial" w:cs="Arial"/>
          <w:sz w:val="20"/>
        </w:rPr>
        <w:t xml:space="preserve">The </w:t>
      </w:r>
      <w:r w:rsidRPr="00A84C18">
        <w:rPr>
          <w:rFonts w:ascii="Arial" w:hAnsi="Arial" w:cs="Arial"/>
          <w:i/>
          <w:sz w:val="20"/>
        </w:rPr>
        <w:t>Offshore Minerals Act 1994</w:t>
      </w:r>
      <w:r w:rsidR="00D41278">
        <w:rPr>
          <w:rFonts w:ascii="Arial" w:hAnsi="Arial" w:cs="Arial"/>
          <w:sz w:val="20"/>
        </w:rPr>
        <w:t xml:space="preserve"> </w:t>
      </w:r>
      <w:r w:rsidR="005B053F">
        <w:rPr>
          <w:rFonts w:ascii="Arial" w:hAnsi="Arial" w:cs="Arial"/>
          <w:sz w:val="20"/>
        </w:rPr>
        <w:t>(</w:t>
      </w:r>
      <w:r w:rsidR="0019630C">
        <w:rPr>
          <w:rFonts w:ascii="Arial" w:hAnsi="Arial" w:cs="Arial"/>
          <w:sz w:val="20"/>
        </w:rPr>
        <w:t>OMA</w:t>
      </w:r>
      <w:r w:rsidR="005B053F">
        <w:rPr>
          <w:rFonts w:ascii="Arial" w:hAnsi="Arial" w:cs="Arial"/>
          <w:sz w:val="20"/>
        </w:rPr>
        <w:t xml:space="preserve">) </w:t>
      </w:r>
      <w:r w:rsidRPr="00A84C18">
        <w:rPr>
          <w:rFonts w:ascii="Arial" w:hAnsi="Arial" w:cs="Arial"/>
          <w:sz w:val="20"/>
        </w:rPr>
        <w:t xml:space="preserve">provides a legal framework that establishes a </w:t>
      </w:r>
      <w:r w:rsidR="00D41278">
        <w:rPr>
          <w:rFonts w:ascii="Arial" w:hAnsi="Arial" w:cs="Arial"/>
          <w:sz w:val="20"/>
        </w:rPr>
        <w:t>licence</w:t>
      </w:r>
      <w:r w:rsidRPr="00A84C18">
        <w:rPr>
          <w:rFonts w:ascii="Arial" w:hAnsi="Arial" w:cs="Arial"/>
          <w:sz w:val="20"/>
        </w:rPr>
        <w:t xml:space="preserve"> system for </w:t>
      </w:r>
      <w:r>
        <w:rPr>
          <w:rFonts w:ascii="Arial" w:hAnsi="Arial" w:cs="Arial"/>
          <w:sz w:val="20"/>
        </w:rPr>
        <w:t xml:space="preserve">exploration and mining </w:t>
      </w:r>
      <w:r w:rsidRPr="00A84C1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>minerals</w:t>
      </w:r>
      <w:r w:rsidRPr="00A84C18">
        <w:rPr>
          <w:rFonts w:ascii="Arial" w:hAnsi="Arial" w:cs="Arial"/>
          <w:sz w:val="20"/>
        </w:rPr>
        <w:t xml:space="preserve"> in Commonwealth waters</w:t>
      </w:r>
      <w:r>
        <w:rPr>
          <w:rFonts w:ascii="Arial" w:hAnsi="Arial" w:cs="Arial"/>
          <w:sz w:val="20"/>
        </w:rPr>
        <w:t>.</w:t>
      </w:r>
    </w:p>
    <w:p w14:paraId="2B153D5D" w14:textId="671D1DFB" w:rsidR="009E5A3C" w:rsidRPr="00A84C18" w:rsidRDefault="00A84C18" w:rsidP="002863A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Approvals </w:t>
      </w:r>
      <w:r w:rsidR="005B053F">
        <w:rPr>
          <w:rFonts w:ascii="Arial" w:hAnsi="Arial" w:cs="Arial"/>
          <w:sz w:val="20"/>
        </w:rPr>
        <w:t>are required</w:t>
      </w:r>
      <w:bookmarkStart w:id="0" w:name="_GoBack"/>
      <w:bookmarkEnd w:id="0"/>
      <w:r w:rsidR="005B05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under </w:t>
      </w:r>
      <w:r w:rsidR="005909C4">
        <w:rPr>
          <w:rFonts w:ascii="Arial" w:hAnsi="Arial" w:cs="Arial"/>
          <w:sz w:val="20"/>
        </w:rPr>
        <w:t>five</w:t>
      </w:r>
      <w:r>
        <w:rPr>
          <w:rFonts w:ascii="Arial" w:hAnsi="Arial" w:cs="Arial"/>
          <w:sz w:val="20"/>
        </w:rPr>
        <w:t xml:space="preserve"> different licences</w:t>
      </w:r>
      <w:r w:rsidR="005B053F">
        <w:rPr>
          <w:rFonts w:ascii="Arial" w:hAnsi="Arial" w:cs="Arial"/>
          <w:sz w:val="20"/>
        </w:rPr>
        <w:t xml:space="preserve"> established by the </w:t>
      </w:r>
      <w:r w:rsidR="0019630C">
        <w:rPr>
          <w:rFonts w:ascii="Arial" w:hAnsi="Arial" w:cs="Arial"/>
          <w:sz w:val="20"/>
        </w:rPr>
        <w:t>OMA</w:t>
      </w:r>
      <w:r w:rsidR="0046244B">
        <w:rPr>
          <w:rFonts w:ascii="Arial" w:hAnsi="Arial" w:cs="Arial"/>
          <w:sz w:val="20"/>
        </w:rPr>
        <w:t xml:space="preserve"> </w:t>
      </w:r>
      <w:r w:rsidR="003C5AAF">
        <w:rPr>
          <w:rFonts w:ascii="Arial" w:hAnsi="Arial" w:cs="Arial"/>
          <w:sz w:val="20"/>
        </w:rPr>
        <w:t>that</w:t>
      </w:r>
      <w:r>
        <w:rPr>
          <w:rFonts w:ascii="Arial" w:hAnsi="Arial" w:cs="Arial"/>
          <w:sz w:val="20"/>
        </w:rPr>
        <w:t xml:space="preserve"> </w:t>
      </w:r>
      <w:r w:rsidR="005B053F">
        <w:rPr>
          <w:rFonts w:ascii="Arial" w:hAnsi="Arial" w:cs="Arial"/>
          <w:sz w:val="20"/>
        </w:rPr>
        <w:t>govern</w:t>
      </w:r>
      <w:r w:rsidR="005B053F" w:rsidRPr="00A84C18">
        <w:rPr>
          <w:rFonts w:ascii="Arial" w:hAnsi="Arial" w:cs="Arial"/>
          <w:sz w:val="20"/>
        </w:rPr>
        <w:t xml:space="preserve"> </w:t>
      </w:r>
      <w:r w:rsidR="007A6682" w:rsidRPr="00A84C18">
        <w:rPr>
          <w:rFonts w:ascii="Arial" w:hAnsi="Arial" w:cs="Arial"/>
          <w:sz w:val="20"/>
        </w:rPr>
        <w:t>offshore mineral exploration and mining activities</w:t>
      </w:r>
      <w:r w:rsidR="0046244B">
        <w:rPr>
          <w:rFonts w:ascii="Arial" w:hAnsi="Arial" w:cs="Arial"/>
          <w:sz w:val="20"/>
        </w:rPr>
        <w:t xml:space="preserve"> in Commonwealth waters.</w:t>
      </w:r>
      <w:r w:rsidR="003C5AAF">
        <w:rPr>
          <w:rFonts w:ascii="Arial" w:hAnsi="Arial" w:cs="Arial"/>
          <w:sz w:val="20"/>
        </w:rPr>
        <w:t xml:space="preserve"> These licences include:</w:t>
      </w:r>
    </w:p>
    <w:p w14:paraId="2B153D5E" w14:textId="77777777" w:rsidR="007A6682" w:rsidRPr="00002A3A" w:rsidDel="0046244B" w:rsidRDefault="007A6682" w:rsidP="002863A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002A3A" w:rsidDel="0046244B">
        <w:rPr>
          <w:rFonts w:ascii="Arial" w:hAnsi="Arial" w:cs="Arial"/>
          <w:sz w:val="20"/>
        </w:rPr>
        <w:t>Exploration licences</w:t>
      </w:r>
    </w:p>
    <w:p w14:paraId="2B153D5F" w14:textId="77777777" w:rsidR="007A6682" w:rsidRPr="00002A3A" w:rsidDel="0046244B" w:rsidRDefault="007A6682" w:rsidP="002863A0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sz w:val="20"/>
        </w:rPr>
      </w:pPr>
      <w:r w:rsidRPr="00002A3A" w:rsidDel="0046244B">
        <w:rPr>
          <w:rFonts w:ascii="Arial" w:hAnsi="Arial" w:cs="Arial"/>
          <w:sz w:val="20"/>
        </w:rPr>
        <w:t>Retention licences</w:t>
      </w:r>
    </w:p>
    <w:p w14:paraId="2B153D60" w14:textId="77777777" w:rsidR="007A6682" w:rsidRPr="00002A3A" w:rsidDel="0046244B" w:rsidRDefault="007A6682" w:rsidP="002863A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002A3A" w:rsidDel="0046244B">
        <w:rPr>
          <w:rFonts w:ascii="Arial" w:hAnsi="Arial" w:cs="Arial"/>
          <w:sz w:val="20"/>
        </w:rPr>
        <w:t>Mining licences</w:t>
      </w:r>
    </w:p>
    <w:p w14:paraId="2B153D61" w14:textId="77777777" w:rsidR="007A6682" w:rsidRPr="00002A3A" w:rsidDel="0046244B" w:rsidRDefault="007A6682" w:rsidP="002863A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002A3A" w:rsidDel="0046244B">
        <w:rPr>
          <w:rFonts w:ascii="Arial" w:hAnsi="Arial" w:cs="Arial"/>
          <w:sz w:val="20"/>
        </w:rPr>
        <w:t>Works licences</w:t>
      </w:r>
    </w:p>
    <w:p w14:paraId="2B153D63" w14:textId="5AAF49EE" w:rsidR="00A82218" w:rsidRPr="002863A0" w:rsidRDefault="007A6682" w:rsidP="002863A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002A3A" w:rsidDel="0046244B">
        <w:rPr>
          <w:rFonts w:ascii="Arial" w:hAnsi="Arial" w:cs="Arial"/>
          <w:sz w:val="20"/>
        </w:rPr>
        <w:t>Special purpose consents</w:t>
      </w:r>
      <w:r w:rsidR="00A82218" w:rsidRPr="00002A3A" w:rsidDel="0046244B">
        <w:rPr>
          <w:rFonts w:ascii="Arial" w:hAnsi="Arial" w:cs="Arial"/>
          <w:sz w:val="20"/>
        </w:rPr>
        <w:t>.</w:t>
      </w:r>
    </w:p>
    <w:p w14:paraId="2B153D65" w14:textId="45027F7E" w:rsidR="00A82218" w:rsidRDefault="007A6682" w:rsidP="002863A0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Exploration licences allow the holder to explore and recover mineral samples from </w:t>
      </w:r>
      <w:r w:rsidR="00B54427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approved a</w:t>
      </w:r>
      <w:r w:rsidR="0043084F">
        <w:rPr>
          <w:rFonts w:ascii="Arial" w:hAnsi="Arial" w:cs="Arial"/>
          <w:sz w:val="20"/>
        </w:rPr>
        <w:t>rea. Licences are valid for 4</w:t>
      </w:r>
      <w:r>
        <w:rPr>
          <w:rFonts w:ascii="Arial" w:hAnsi="Arial" w:cs="Arial"/>
          <w:sz w:val="20"/>
        </w:rPr>
        <w:t xml:space="preserve"> years and can be renewed.</w:t>
      </w:r>
    </w:p>
    <w:p w14:paraId="2B153D67" w14:textId="0E51F466" w:rsidR="00A82218" w:rsidRDefault="007A6682" w:rsidP="002863A0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exploration licence does not </w:t>
      </w:r>
      <w:r w:rsidR="00B54427">
        <w:rPr>
          <w:rFonts w:ascii="Arial" w:hAnsi="Arial" w:cs="Arial"/>
          <w:sz w:val="20"/>
        </w:rPr>
        <w:t>automatically provide the right</w:t>
      </w:r>
      <w:r>
        <w:rPr>
          <w:rFonts w:ascii="Arial" w:hAnsi="Arial" w:cs="Arial"/>
          <w:sz w:val="20"/>
        </w:rPr>
        <w:t xml:space="preserve"> to mining </w:t>
      </w:r>
      <w:r w:rsidR="00B54427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retention licences. Licence holders are assessed on their merits when applying for a mining or retention licence.</w:t>
      </w:r>
    </w:p>
    <w:p w14:paraId="5720313F" w14:textId="2CD6ED20" w:rsidR="00EF4D37" w:rsidRPr="00EF4D37" w:rsidRDefault="00A84C18" w:rsidP="002863A0">
      <w:pPr>
        <w:spacing w:after="120"/>
        <w:ind w:left="68"/>
        <w:rPr>
          <w:rFonts w:ascii="Arial" w:hAnsi="Arial" w:cs="Arial"/>
          <w:color w:val="005677"/>
          <w:sz w:val="20"/>
        </w:rPr>
      </w:pPr>
      <w:r w:rsidRPr="00A84C18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 xml:space="preserve"> </w:t>
      </w:r>
      <w:r w:rsidR="00A82218">
        <w:rPr>
          <w:rFonts w:ascii="Arial" w:hAnsi="Arial" w:cs="Arial"/>
          <w:sz w:val="20"/>
        </w:rPr>
        <w:t xml:space="preserve">The </w:t>
      </w:r>
      <w:r w:rsidR="0019630C" w:rsidRPr="0019630C">
        <w:rPr>
          <w:rFonts w:ascii="Arial" w:hAnsi="Arial" w:cs="Arial"/>
          <w:sz w:val="20"/>
        </w:rPr>
        <w:t>OMA</w:t>
      </w:r>
      <w:r w:rsidR="00A82218">
        <w:rPr>
          <w:rFonts w:ascii="Arial" w:hAnsi="Arial" w:cs="Arial"/>
          <w:sz w:val="20"/>
        </w:rPr>
        <w:t xml:space="preserve"> does not </w:t>
      </w:r>
      <w:r w:rsidR="00B86E53">
        <w:rPr>
          <w:rFonts w:ascii="Arial" w:hAnsi="Arial" w:cs="Arial"/>
          <w:sz w:val="20"/>
        </w:rPr>
        <w:t>regulate</w:t>
      </w:r>
      <w:r w:rsidR="00A82218">
        <w:rPr>
          <w:rFonts w:ascii="Arial" w:hAnsi="Arial" w:cs="Arial"/>
          <w:sz w:val="20"/>
        </w:rPr>
        <w:t xml:space="preserve"> oil and gas activities. Oil and gas activities</w:t>
      </w:r>
      <w:r w:rsidR="00B86E53">
        <w:rPr>
          <w:rFonts w:ascii="Arial" w:hAnsi="Arial" w:cs="Arial"/>
          <w:sz w:val="20"/>
        </w:rPr>
        <w:t xml:space="preserve"> conducted</w:t>
      </w:r>
      <w:r w:rsidR="00A82218">
        <w:rPr>
          <w:rFonts w:ascii="Arial" w:hAnsi="Arial" w:cs="Arial"/>
          <w:sz w:val="20"/>
        </w:rPr>
        <w:t xml:space="preserve"> in </w:t>
      </w:r>
      <w:r w:rsidR="007000A9">
        <w:rPr>
          <w:rFonts w:ascii="Arial" w:hAnsi="Arial" w:cs="Arial"/>
          <w:sz w:val="20"/>
        </w:rPr>
        <w:t xml:space="preserve">Commonwealth </w:t>
      </w:r>
      <w:r w:rsidR="00A82218">
        <w:rPr>
          <w:rFonts w:ascii="Arial" w:hAnsi="Arial" w:cs="Arial"/>
          <w:sz w:val="20"/>
        </w:rPr>
        <w:t xml:space="preserve">waters are regulated under the </w:t>
      </w:r>
      <w:r w:rsidR="00A82218" w:rsidRPr="00B86E53">
        <w:rPr>
          <w:rFonts w:ascii="Arial" w:hAnsi="Arial" w:cs="Arial"/>
          <w:i/>
          <w:sz w:val="20"/>
        </w:rPr>
        <w:t>Offshore Petroleum and Greenhouse Gas Storage Act 2006 (OPGGSA)</w:t>
      </w:r>
      <w:r w:rsidR="00B86E53">
        <w:rPr>
          <w:rFonts w:ascii="Arial" w:hAnsi="Arial" w:cs="Arial"/>
          <w:i/>
          <w:sz w:val="20"/>
        </w:rPr>
        <w:t xml:space="preserve">. </w:t>
      </w:r>
      <w:r w:rsidR="00B86E53" w:rsidRPr="00B86E53">
        <w:rPr>
          <w:rFonts w:ascii="Arial" w:hAnsi="Arial" w:cs="Arial"/>
          <w:sz w:val="20"/>
        </w:rPr>
        <w:t xml:space="preserve">Further information on oil and gas regulation is available </w:t>
      </w:r>
      <w:hyperlink r:id="rId14" w:history="1">
        <w:r w:rsidR="00B86E53" w:rsidRPr="0004673C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 w:rsidR="00B86E53" w:rsidRPr="0004673C">
        <w:rPr>
          <w:rFonts w:ascii="Arial" w:hAnsi="Arial" w:cs="Arial"/>
          <w:color w:val="005677"/>
          <w:sz w:val="20"/>
        </w:rPr>
        <w:t>.</w:t>
      </w:r>
    </w:p>
    <w:p w14:paraId="2B153D6A" w14:textId="77777777" w:rsidR="00B61914" w:rsidRPr="007623C4" w:rsidRDefault="00B61914" w:rsidP="002863A0">
      <w:pPr>
        <w:pStyle w:val="Heading2"/>
        <w:numPr>
          <w:ilvl w:val="0"/>
          <w:numId w:val="1"/>
        </w:numPr>
        <w:spacing w:before="0"/>
        <w:ind w:left="284" w:hanging="284"/>
      </w:pPr>
      <w:r w:rsidRPr="007623C4">
        <w:t xml:space="preserve">Who </w:t>
      </w:r>
      <w:r w:rsidR="00B40DE4" w:rsidRPr="007623C4">
        <w:t>provides</w:t>
      </w:r>
      <w:r w:rsidRPr="007623C4">
        <w:t xml:space="preserve"> approvals?</w:t>
      </w:r>
    </w:p>
    <w:p w14:paraId="2B153D6C" w14:textId="0CD93EE7" w:rsidR="00792548" w:rsidRPr="00B86E53" w:rsidRDefault="0046244B" w:rsidP="002863A0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decision to approve an offshore mineral licence is determined by the </w:t>
      </w:r>
      <w:r w:rsidR="00D41278" w:rsidRPr="00D41278">
        <w:rPr>
          <w:rFonts w:ascii="Arial" w:hAnsi="Arial" w:cs="Arial"/>
          <w:sz w:val="20"/>
        </w:rPr>
        <w:t xml:space="preserve">relevant </w:t>
      </w:r>
      <w:r>
        <w:rPr>
          <w:rFonts w:ascii="Arial" w:hAnsi="Arial" w:cs="Arial"/>
          <w:sz w:val="20"/>
        </w:rPr>
        <w:t xml:space="preserve">Commonwealth-State or Territory </w:t>
      </w:r>
      <w:r w:rsidR="00D41278" w:rsidRPr="00D41278">
        <w:rPr>
          <w:rFonts w:ascii="Arial" w:hAnsi="Arial" w:cs="Arial"/>
          <w:sz w:val="20"/>
        </w:rPr>
        <w:t xml:space="preserve">Joint Authority. The </w:t>
      </w:r>
      <w:r>
        <w:rPr>
          <w:rFonts w:ascii="Arial" w:hAnsi="Arial" w:cs="Arial"/>
          <w:sz w:val="20"/>
        </w:rPr>
        <w:t xml:space="preserve">Joint Authority comprises the </w:t>
      </w:r>
      <w:r w:rsidR="00D41278" w:rsidRPr="00D41278">
        <w:rPr>
          <w:rFonts w:ascii="Arial" w:hAnsi="Arial" w:cs="Arial"/>
          <w:sz w:val="20"/>
        </w:rPr>
        <w:t xml:space="preserve">responsible </w:t>
      </w:r>
      <w:r>
        <w:rPr>
          <w:rFonts w:ascii="Arial" w:hAnsi="Arial" w:cs="Arial"/>
          <w:sz w:val="20"/>
        </w:rPr>
        <w:t>Commonwealth</w:t>
      </w:r>
      <w:r w:rsidR="00D41278" w:rsidRPr="00D412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D41278" w:rsidRPr="00D41278">
        <w:rPr>
          <w:rFonts w:ascii="Arial" w:hAnsi="Arial" w:cs="Arial"/>
          <w:sz w:val="20"/>
        </w:rPr>
        <w:t>inister and the r</w:t>
      </w:r>
      <w:r>
        <w:rPr>
          <w:rFonts w:ascii="Arial" w:hAnsi="Arial" w:cs="Arial"/>
          <w:sz w:val="20"/>
        </w:rPr>
        <w:t>esponsible</w:t>
      </w:r>
      <w:r w:rsidR="00D41278" w:rsidRPr="00D412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D41278" w:rsidRPr="00D41278">
        <w:rPr>
          <w:rFonts w:ascii="Arial" w:hAnsi="Arial" w:cs="Arial"/>
          <w:sz w:val="20"/>
        </w:rPr>
        <w:t xml:space="preserve">tate or Northern Territory </w:t>
      </w:r>
      <w:r>
        <w:rPr>
          <w:rFonts w:ascii="Arial" w:hAnsi="Arial" w:cs="Arial"/>
          <w:sz w:val="20"/>
        </w:rPr>
        <w:t>M</w:t>
      </w:r>
      <w:r w:rsidR="00D41278" w:rsidRPr="00D41278">
        <w:rPr>
          <w:rFonts w:ascii="Arial" w:hAnsi="Arial" w:cs="Arial"/>
          <w:sz w:val="20"/>
        </w:rPr>
        <w:t>inister.</w:t>
      </w:r>
    </w:p>
    <w:p w14:paraId="2B153D6D" w14:textId="77777777" w:rsidR="009E5A3C" w:rsidRDefault="00D41278" w:rsidP="002863A0">
      <w:pPr>
        <w:spacing w:after="120"/>
        <w:ind w:left="68"/>
        <w:rPr>
          <w:rFonts w:ascii="Arial" w:hAnsi="Arial" w:cs="Arial"/>
          <w:sz w:val="20"/>
        </w:rPr>
      </w:pPr>
      <w:r w:rsidRPr="00D41278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 xml:space="preserve"> </w:t>
      </w:r>
      <w:r w:rsidR="0043084F" w:rsidRPr="00B86E53">
        <w:rPr>
          <w:rFonts w:ascii="Arial" w:hAnsi="Arial" w:cs="Arial"/>
          <w:sz w:val="20"/>
        </w:rPr>
        <w:t>Activity within the first 3</w:t>
      </w:r>
      <w:r w:rsidR="007A6682" w:rsidRPr="00B86E53">
        <w:rPr>
          <w:rFonts w:ascii="Arial" w:hAnsi="Arial" w:cs="Arial"/>
          <w:sz w:val="20"/>
        </w:rPr>
        <w:t xml:space="preserve"> nautical miles of Australian territorial</w:t>
      </w:r>
      <w:r w:rsidR="00B54427" w:rsidRPr="00B86E53">
        <w:rPr>
          <w:rFonts w:ascii="Arial" w:hAnsi="Arial" w:cs="Arial"/>
          <w:sz w:val="20"/>
        </w:rPr>
        <w:t xml:space="preserve"> waters is administered by the States and </w:t>
      </w:r>
      <w:r w:rsidR="00B54427">
        <w:rPr>
          <w:rFonts w:ascii="Arial" w:hAnsi="Arial" w:cs="Arial"/>
          <w:sz w:val="20"/>
        </w:rPr>
        <w:t>T</w:t>
      </w:r>
      <w:r w:rsidR="007A6682">
        <w:rPr>
          <w:rFonts w:ascii="Arial" w:hAnsi="Arial" w:cs="Arial"/>
          <w:sz w:val="20"/>
        </w:rPr>
        <w:t xml:space="preserve">erritories. </w:t>
      </w:r>
    </w:p>
    <w:p w14:paraId="2B153D6F" w14:textId="29882BCB" w:rsidR="00B61914" w:rsidRPr="007623C4" w:rsidRDefault="00B61914" w:rsidP="002863A0">
      <w:pPr>
        <w:pStyle w:val="Heading2"/>
        <w:numPr>
          <w:ilvl w:val="0"/>
          <w:numId w:val="1"/>
        </w:numPr>
        <w:spacing w:before="0"/>
        <w:ind w:left="284" w:hanging="284"/>
      </w:pPr>
      <w:r w:rsidRPr="007623C4">
        <w:t xml:space="preserve">How </w:t>
      </w:r>
      <w:r w:rsidR="00B40DE4" w:rsidRPr="007623C4">
        <w:t>do I get</w:t>
      </w:r>
      <w:r w:rsidRPr="007623C4">
        <w:t xml:space="preserve"> approval?</w:t>
      </w:r>
    </w:p>
    <w:p w14:paraId="2B153D70" w14:textId="77777777" w:rsidR="0005483D" w:rsidRPr="0004673C" w:rsidRDefault="009E5A3C" w:rsidP="002863A0">
      <w:pPr>
        <w:spacing w:after="120"/>
        <w:ind w:left="68"/>
        <w:rPr>
          <w:rFonts w:ascii="Arial" w:hAnsi="Arial" w:cs="Arial"/>
          <w:color w:val="005677"/>
          <w:sz w:val="20"/>
        </w:rPr>
      </w:pPr>
      <w:r>
        <w:rPr>
          <w:rFonts w:ascii="Arial" w:hAnsi="Arial" w:cs="Arial"/>
          <w:sz w:val="20"/>
        </w:rPr>
        <w:t xml:space="preserve">Guidelines </w:t>
      </w:r>
      <w:r w:rsidR="007A6682">
        <w:rPr>
          <w:rFonts w:ascii="Arial" w:hAnsi="Arial" w:cs="Arial"/>
          <w:sz w:val="20"/>
        </w:rPr>
        <w:t>for applicants</w:t>
      </w:r>
      <w:r w:rsidR="0043084F">
        <w:rPr>
          <w:rFonts w:ascii="Arial" w:hAnsi="Arial" w:cs="Arial"/>
          <w:sz w:val="20"/>
        </w:rPr>
        <w:t xml:space="preserve"> are available on the </w:t>
      </w:r>
      <w:r w:rsidR="00D30FAA">
        <w:rPr>
          <w:rFonts w:ascii="Arial" w:hAnsi="Arial" w:cs="Arial"/>
          <w:sz w:val="20"/>
        </w:rPr>
        <w:t xml:space="preserve">Department of </w:t>
      </w:r>
      <w:r w:rsidR="0043084F">
        <w:rPr>
          <w:rFonts w:ascii="Arial" w:hAnsi="Arial" w:cs="Arial"/>
          <w:sz w:val="20"/>
        </w:rPr>
        <w:t>Industry</w:t>
      </w:r>
      <w:r w:rsidR="00D30FAA">
        <w:rPr>
          <w:rFonts w:ascii="Arial" w:hAnsi="Arial" w:cs="Arial"/>
          <w:sz w:val="20"/>
        </w:rPr>
        <w:t>, Science</w:t>
      </w:r>
      <w:r w:rsidR="0002153E">
        <w:rPr>
          <w:rFonts w:ascii="Arial" w:hAnsi="Arial" w:cs="Arial"/>
          <w:sz w:val="20"/>
        </w:rPr>
        <w:t>, Energy and Resources</w:t>
      </w:r>
      <w:r w:rsidR="00D30FAA">
        <w:rPr>
          <w:rFonts w:ascii="Arial" w:hAnsi="Arial" w:cs="Arial"/>
          <w:sz w:val="20"/>
        </w:rPr>
        <w:t xml:space="preserve"> </w:t>
      </w:r>
      <w:hyperlink r:id="rId15" w:history="1">
        <w:r w:rsidR="00D30FAA" w:rsidRPr="0004673C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D30FAA" w:rsidRPr="0004673C">
        <w:rPr>
          <w:rFonts w:ascii="Arial" w:hAnsi="Arial" w:cs="Arial"/>
          <w:color w:val="005677"/>
          <w:sz w:val="20"/>
        </w:rPr>
        <w:t>.</w:t>
      </w:r>
    </w:p>
    <w:p w14:paraId="2B153D72" w14:textId="77777777" w:rsidR="00B40DE4" w:rsidRPr="007623C4" w:rsidRDefault="00FC6130" w:rsidP="002863A0">
      <w:pPr>
        <w:pStyle w:val="Heading2"/>
        <w:numPr>
          <w:ilvl w:val="0"/>
          <w:numId w:val="1"/>
        </w:numPr>
        <w:spacing w:before="0"/>
        <w:ind w:left="284" w:hanging="284"/>
      </w:pPr>
      <w:r w:rsidRPr="007623C4">
        <w:t>More i</w:t>
      </w:r>
      <w:r w:rsidR="00B40DE4" w:rsidRPr="007623C4">
        <w:t>nformation</w:t>
      </w:r>
    </w:p>
    <w:p w14:paraId="2B153D73" w14:textId="77777777" w:rsidR="00A82218" w:rsidRPr="00A82218" w:rsidRDefault="00A82218" w:rsidP="002863A0">
      <w:pPr>
        <w:pStyle w:val="Heading3"/>
        <w:spacing w:before="0" w:after="0"/>
        <w:rPr>
          <w:b w:val="0"/>
        </w:rPr>
      </w:pPr>
      <w:r w:rsidRPr="00A82218">
        <w:t>Commonwealth</w:t>
      </w:r>
    </w:p>
    <w:p w14:paraId="2B153D75" w14:textId="5682F475" w:rsidR="00A82218" w:rsidRPr="002863A0" w:rsidRDefault="00A82218" w:rsidP="002863A0">
      <w:pPr>
        <w:spacing w:after="120"/>
        <w:ind w:left="68"/>
        <w:rPr>
          <w:rFonts w:ascii="Arial" w:hAnsi="Arial" w:cs="Arial"/>
          <w:sz w:val="20"/>
        </w:rPr>
      </w:pPr>
      <w:r w:rsidRPr="00A82218">
        <w:rPr>
          <w:rFonts w:ascii="Arial" w:hAnsi="Arial" w:cs="Arial"/>
          <w:sz w:val="20"/>
        </w:rPr>
        <w:t xml:space="preserve">For more information on offshore minerals in Australia, email </w:t>
      </w:r>
      <w:hyperlink r:id="rId16" w:history="1">
        <w:r w:rsidRPr="0004673C">
          <w:rPr>
            <w:rStyle w:val="Hyperlink"/>
            <w:rFonts w:ascii="Arial" w:hAnsi="Arial" w:cs="Arial"/>
            <w:color w:val="005677"/>
            <w:sz w:val="20"/>
          </w:rPr>
          <w:t>offshore.minerals@industry.gov.au</w:t>
        </w:r>
      </w:hyperlink>
    </w:p>
    <w:p w14:paraId="2B153D76" w14:textId="77777777" w:rsidR="00A82218" w:rsidRPr="007623C4" w:rsidRDefault="00A82218" w:rsidP="002863A0">
      <w:pPr>
        <w:pStyle w:val="Heading3"/>
        <w:spacing w:before="0" w:after="0"/>
      </w:pPr>
      <w:r w:rsidRPr="007623C4">
        <w:t>Major Projects Facilitation Agency</w:t>
      </w:r>
    </w:p>
    <w:p w14:paraId="2B153D77" w14:textId="77777777" w:rsidR="00A82218" w:rsidRPr="00A82218" w:rsidRDefault="00A82218" w:rsidP="002863A0">
      <w:pPr>
        <w:spacing w:after="120"/>
        <w:ind w:left="68"/>
        <w:rPr>
          <w:rFonts w:ascii="Arial" w:hAnsi="Arial" w:cs="Arial"/>
          <w:sz w:val="20"/>
        </w:rPr>
      </w:pPr>
      <w:r w:rsidRPr="00A82218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7" w:history="1">
        <w:r w:rsidRPr="0004673C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A82218">
        <w:rPr>
          <w:rFonts w:ascii="Arial" w:hAnsi="Arial" w:cs="Arial"/>
          <w:sz w:val="20"/>
        </w:rPr>
        <w:t xml:space="preserve"> or contact us:</w:t>
      </w:r>
    </w:p>
    <w:p w14:paraId="2B153D7B" w14:textId="6C49D24E" w:rsidR="009E5A3C" w:rsidRPr="00A37E11" w:rsidRDefault="00EF4D37" w:rsidP="002863A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82218">
        <w:rPr>
          <w:rFonts w:ascii="Arial" w:hAnsi="Arial" w:cs="Arial"/>
          <w:sz w:val="20"/>
        </w:rPr>
        <w:t>Email:</w:t>
      </w:r>
      <w:r w:rsidR="00A82218">
        <w:rPr>
          <w:rFonts w:ascii="Arial" w:hAnsi="Arial" w:cs="Arial"/>
          <w:sz w:val="20"/>
        </w:rPr>
        <w:tab/>
      </w:r>
      <w:r w:rsidR="00915D32" w:rsidRPr="00915D32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sectPr w:rsidR="009E5A3C" w:rsidRPr="00A37E11" w:rsidSect="00002A3A">
      <w:type w:val="continuous"/>
      <w:pgSz w:w="11906" w:h="16838"/>
      <w:pgMar w:top="720" w:right="991" w:bottom="720" w:left="720" w:header="708" w:footer="708" w:gutter="0"/>
      <w:cols w:num="2" w:space="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3D7E" w14:textId="77777777" w:rsidR="002E3751" w:rsidRDefault="002E3751" w:rsidP="00B61914">
      <w:pPr>
        <w:spacing w:after="0" w:line="240" w:lineRule="auto"/>
      </w:pPr>
      <w:r>
        <w:separator/>
      </w:r>
    </w:p>
  </w:endnote>
  <w:endnote w:type="continuationSeparator" w:id="0">
    <w:p w14:paraId="2B153D7F" w14:textId="77777777" w:rsidR="002E3751" w:rsidRDefault="002E3751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3D81" w14:textId="2C785843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 xml:space="preserve">This fact sheet provides general information and does not constitute legal advice. You should seek independent legal advice tailored to your individual circumstances. The Major Project </w:t>
    </w:r>
    <w:r w:rsidR="00A559C2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 navigate the approvals proce</w:t>
    </w:r>
    <w:r w:rsidR="00B54427">
      <w:rPr>
        <w:rFonts w:ascii="Arial" w:eastAsia="Arial" w:hAnsi="Arial" w:cs="Times New Roman"/>
        <w:spacing w:val="-2"/>
        <w:sz w:val="16"/>
        <w:szCs w:val="20"/>
      </w:rPr>
      <w:t>ss. T</w:t>
    </w:r>
    <w:r w:rsidR="00A559C2">
      <w:rPr>
        <w:rFonts w:ascii="Arial" w:eastAsia="Arial" w:hAnsi="Arial" w:cs="Times New Roman"/>
        <w:spacing w:val="-2"/>
        <w:sz w:val="16"/>
        <w:szCs w:val="20"/>
      </w:rPr>
      <w:t>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or administer this Act or Regulations.</w:t>
    </w:r>
  </w:p>
  <w:p w14:paraId="2B153D82" w14:textId="46FE65F4" w:rsidR="00A37E11" w:rsidRPr="00A37E11" w:rsidRDefault="00915D32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3F4429" w:rsidRPr="003A1682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3F4429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3F4429">
      <w:rPr>
        <w:rFonts w:ascii="Arial" w:eastAsia="Arial" w:hAnsi="Arial" w:cs="Times New Roman"/>
        <w:spacing w:val="-2"/>
        <w:sz w:val="16"/>
        <w:szCs w:val="20"/>
      </w:rPr>
      <w:tab/>
    </w:r>
    <w:r w:rsidR="003F4429">
      <w:rPr>
        <w:rFonts w:ascii="Arial" w:eastAsia="Arial" w:hAnsi="Arial" w:cs="Times New Roman"/>
        <w:spacing w:val="-2"/>
        <w:sz w:val="16"/>
        <w:szCs w:val="20"/>
      </w:rPr>
      <w:tab/>
    </w:r>
    <w:r w:rsidR="003F4429">
      <w:rPr>
        <w:rFonts w:ascii="Arial" w:eastAsia="Arial" w:hAnsi="Arial" w:cs="Times New Roman"/>
        <w:spacing w:val="-2"/>
        <w:sz w:val="16"/>
        <w:szCs w:val="20"/>
      </w:rPr>
      <w:tab/>
    </w:r>
    <w:r w:rsidRPr="00915D32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F25016">
      <w:rPr>
        <w:rFonts w:ascii="Arial" w:eastAsia="Arial" w:hAnsi="Arial" w:cs="Times New Roman"/>
        <w:spacing w:val="-2"/>
        <w:sz w:val="16"/>
        <w:szCs w:val="20"/>
      </w:rPr>
      <w:tab/>
    </w:r>
    <w:r w:rsidR="00F25016">
      <w:rPr>
        <w:rFonts w:ascii="Arial" w:eastAsia="Arial" w:hAnsi="Arial" w:cs="Times New Roman"/>
        <w:spacing w:val="-2"/>
        <w:sz w:val="16"/>
        <w:szCs w:val="20"/>
      </w:rPr>
      <w:tab/>
    </w:r>
    <w:r w:rsidR="00F25016">
      <w:rPr>
        <w:rFonts w:ascii="Arial" w:eastAsia="Arial" w:hAnsi="Arial" w:cs="Times New Roman"/>
        <w:spacing w:val="-2"/>
        <w:sz w:val="16"/>
        <w:szCs w:val="20"/>
      </w:rPr>
      <w:tab/>
    </w:r>
    <w:r w:rsidR="00F25016">
      <w:rPr>
        <w:rFonts w:ascii="Arial" w:eastAsia="Arial" w:hAnsi="Arial" w:cs="Times New Roman"/>
        <w:spacing w:val="-2"/>
        <w:sz w:val="16"/>
        <w:szCs w:val="20"/>
      </w:rPr>
      <w:tab/>
    </w:r>
    <w:r w:rsidR="00227F6C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E01F30" w:rsidRPr="00E01F30">
      <w:rPr>
        <w:rFonts w:ascii="Arial" w:eastAsia="Arial" w:hAnsi="Arial" w:cs="Times New Roman"/>
        <w:spacing w:val="-2"/>
        <w:sz w:val="16"/>
        <w:szCs w:val="20"/>
      </w:rPr>
      <w:t xml:space="preserve"> 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3D7C" w14:textId="77777777" w:rsidR="002E3751" w:rsidRDefault="002E3751" w:rsidP="00B61914">
      <w:pPr>
        <w:spacing w:after="0" w:line="240" w:lineRule="auto"/>
      </w:pPr>
      <w:r>
        <w:separator/>
      </w:r>
    </w:p>
  </w:footnote>
  <w:footnote w:type="continuationSeparator" w:id="0">
    <w:p w14:paraId="2B153D7D" w14:textId="77777777" w:rsidR="002E3751" w:rsidRDefault="002E3751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3D80" w14:textId="77777777" w:rsidR="00B61914" w:rsidRDefault="00A559C2">
    <w:pPr>
      <w:pStyle w:val="Header"/>
    </w:pPr>
    <w:r>
      <w:rPr>
        <w:noProof/>
        <w:lang w:eastAsia="en-AU"/>
      </w:rPr>
      <w:drawing>
        <wp:inline distT="0" distB="0" distL="0" distR="0" wp14:anchorId="2B153D83" wp14:editId="2B153D84">
          <wp:extent cx="6443345" cy="3242945"/>
          <wp:effectExtent l="0" t="0" r="0" b="0"/>
          <wp:docPr id="2" name="Picture 2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11DB"/>
    <w:multiLevelType w:val="hybridMultilevel"/>
    <w:tmpl w:val="58B47564"/>
    <w:lvl w:ilvl="0" w:tplc="C08C3404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995045"/>
    <w:multiLevelType w:val="hybridMultilevel"/>
    <w:tmpl w:val="9C969DD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7D7350"/>
    <w:multiLevelType w:val="hybridMultilevel"/>
    <w:tmpl w:val="4F0C0ED0"/>
    <w:lvl w:ilvl="0" w:tplc="843ECAA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AC839FB"/>
    <w:multiLevelType w:val="hybridMultilevel"/>
    <w:tmpl w:val="097C46D8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02A3A"/>
    <w:rsid w:val="0002153E"/>
    <w:rsid w:val="00032751"/>
    <w:rsid w:val="0004673C"/>
    <w:rsid w:val="0005483D"/>
    <w:rsid w:val="000617E2"/>
    <w:rsid w:val="00080D02"/>
    <w:rsid w:val="00157D30"/>
    <w:rsid w:val="0019630C"/>
    <w:rsid w:val="00213A82"/>
    <w:rsid w:val="00227F6C"/>
    <w:rsid w:val="00274965"/>
    <w:rsid w:val="00281FA2"/>
    <w:rsid w:val="002863A0"/>
    <w:rsid w:val="002C4D5B"/>
    <w:rsid w:val="002E3751"/>
    <w:rsid w:val="003A1682"/>
    <w:rsid w:val="003C5AAF"/>
    <w:rsid w:val="003F294A"/>
    <w:rsid w:val="003F4429"/>
    <w:rsid w:val="0043084F"/>
    <w:rsid w:val="0046244B"/>
    <w:rsid w:val="004865B3"/>
    <w:rsid w:val="004B0063"/>
    <w:rsid w:val="004E4D16"/>
    <w:rsid w:val="0055228B"/>
    <w:rsid w:val="005909C4"/>
    <w:rsid w:val="005B053F"/>
    <w:rsid w:val="007000A9"/>
    <w:rsid w:val="007623C4"/>
    <w:rsid w:val="00780F7E"/>
    <w:rsid w:val="00792548"/>
    <w:rsid w:val="007A6682"/>
    <w:rsid w:val="008A13F6"/>
    <w:rsid w:val="00915D32"/>
    <w:rsid w:val="00956A3D"/>
    <w:rsid w:val="009C2FA7"/>
    <w:rsid w:val="009E5A3C"/>
    <w:rsid w:val="00A37E11"/>
    <w:rsid w:val="00A559C2"/>
    <w:rsid w:val="00A82218"/>
    <w:rsid w:val="00A84C18"/>
    <w:rsid w:val="00B40DE4"/>
    <w:rsid w:val="00B54427"/>
    <w:rsid w:val="00B61914"/>
    <w:rsid w:val="00B86E53"/>
    <w:rsid w:val="00D257AC"/>
    <w:rsid w:val="00D30FAA"/>
    <w:rsid w:val="00D41278"/>
    <w:rsid w:val="00D52A83"/>
    <w:rsid w:val="00D876FB"/>
    <w:rsid w:val="00DC78DB"/>
    <w:rsid w:val="00E01F30"/>
    <w:rsid w:val="00EF4D37"/>
    <w:rsid w:val="00F05CA6"/>
    <w:rsid w:val="00F25016"/>
    <w:rsid w:val="00F25EE0"/>
    <w:rsid w:val="00F32320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153D55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320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320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320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32320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320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2320"/>
    <w:rPr>
      <w:rFonts w:ascii="Arial" w:eastAsiaTheme="majorEastAsia" w:hAnsi="Arial" w:cstheme="majorBidi"/>
      <w:b/>
      <w:color w:val="004059"/>
      <w:sz w:val="28"/>
      <w:szCs w:val="32"/>
    </w:rPr>
  </w:style>
  <w:style w:type="paragraph" w:customStyle="1" w:styleId="Default">
    <w:name w:val="Default"/>
    <w:rsid w:val="00A84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shore.minerals@industry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dustry.gov.au/regulation-and-standards/offshore-mineral-exploration-and-minin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ustry.gov.au/regulation-and-standards/regulating-offshore-oil-and-gas-in-australian-wa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Updated factsheet 05.12.18.</Comments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a36bd50b-1532-4c22-b385-5c082c960938">
      <Value>52</Value>
      <Value>811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P77SRJCMCQEC-1054242025-54</_dlc_DocId>
    <_dlc_DocIdUrl xmlns="a36bd50b-1532-4c22-b385-5c082c960938">
      <Url>https://dochub/div/resources/businessfunctions/offshoreresources/exploration/mineralspolicy/_layouts/15/DocIdRedir.aspx?ID=P77SRJCMCQEC-1054242025-54</Url>
      <Description>P77SRJCMCQEC-1054242025-54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C4A4-AFDB-46D2-9099-DF42849F0A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3CE8B7-8960-4F2B-9E8F-B422482D3F52}"/>
</file>

<file path=customXml/itemProps3.xml><?xml version="1.0" encoding="utf-8"?>
<ds:datastoreItem xmlns:ds="http://schemas.openxmlformats.org/officeDocument/2006/customXml" ds:itemID="{9F8BB7D5-A5FA-4EA2-B983-A442D3924E7F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EB540D-C208-4E66-89ED-D4D053053F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EF450-389A-41AA-B64C-62AEDD5C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MINERALS ACT 1994</vt:lpstr>
    </vt:vector>
  </TitlesOfParts>
  <Company>Department of Industry, Innovation and Science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MINERALS ACT 1994</dc:title>
  <dc:subject/>
  <dc:creator>England, Teneille</dc:creator>
  <cp:keywords/>
  <dc:description/>
  <cp:lastModifiedBy>Pusceddu, Anna</cp:lastModifiedBy>
  <cp:revision>12</cp:revision>
  <dcterms:created xsi:type="dcterms:W3CDTF">2020-05-20T04:10:00Z</dcterms:created>
  <dcterms:modified xsi:type="dcterms:W3CDTF">2021-09-06T05:04:00Z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9662e989-1a6d-4a6d-9181-d95fd978a35e</vt:lpwstr>
  </property>
  <property fmtid="{D5CDD505-2E9C-101B-9397-08002B2CF9AE}" pid="4" name="DocHub_Year">
    <vt:lpwstr>811;#2018|224abc7b-6f7e-4064-b773-6750976429b5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RegionCountry">
    <vt:lpwstr/>
  </property>
  <property fmtid="{D5CDD505-2E9C-101B-9397-08002B2CF9AE}" pid="10" name="DocHub_GroupsOtherEntities">
    <vt:lpwstr/>
  </property>
  <property fmtid="{D5CDD505-2E9C-101B-9397-08002B2CF9AE}" pid="11" name="DocHub_GovernmentEntities">
    <vt:lpwstr/>
  </property>
  <property fmtid="{D5CDD505-2E9C-101B-9397-08002B2CF9AE}" pid="12" name="DocHub_OrganisationEntities">
    <vt:lpwstr/>
  </property>
  <property fmtid="{D5CDD505-2E9C-101B-9397-08002B2CF9AE}" pid="13" name="DocHub_WorkTopic">
    <vt:lpwstr/>
  </property>
  <property fmtid="{D5CDD505-2E9C-101B-9397-08002B2CF9AE}" pid="14" name="DocHub_EnergyMineralResources">
    <vt:lpwstr/>
  </property>
  <property fmtid="{D5CDD505-2E9C-101B-9397-08002B2CF9AE}" pid="15" name="DocHub_State">
    <vt:lpwstr/>
  </property>
  <property fmtid="{D5CDD505-2E9C-101B-9397-08002B2CF9AE}" pid="16" name="DocHub_PDMSNumber">
    <vt:lpwstr/>
  </property>
  <property fmtid="{D5CDD505-2E9C-101B-9397-08002B2CF9AE}" pid="17" name="IconOverlay">
    <vt:lpwstr/>
  </property>
</Properties>
</file>