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ADDC" w14:textId="77777777" w:rsidR="006709E4" w:rsidRPr="000F3BA2" w:rsidRDefault="001C3913" w:rsidP="000F3BA2">
      <w:pPr>
        <w:pStyle w:val="Heading1"/>
        <w:rPr>
          <w:rStyle w:val="SubtleEmphasis"/>
          <w:rFonts w:asciiTheme="majorHAnsi" w:hAnsiTheme="majorHAnsi"/>
          <w:i w:val="0"/>
          <w:iCs w:val="0"/>
          <w:color w:val="004059" w:themeColor="accent1" w:themeShade="BF"/>
        </w:rPr>
        <w:sectPr w:rsidR="006709E4" w:rsidRPr="000F3BA2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 w:rsidRPr="000F3BA2">
        <w:t>MARITIME TRANSPORT AND OFFSHORE FACILITIES SECURITY ACT 2003</w:t>
      </w:r>
    </w:p>
    <w:p w14:paraId="7531ADDD" w14:textId="0E88C6FA" w:rsidR="006709E4" w:rsidRDefault="0074370A" w:rsidP="006D4B5A">
      <w:pPr>
        <w:sectPr w:rsidR="006709E4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rStyle w:val="SubtleEmphasis"/>
        </w:rPr>
        <w:t>Operators of ships,</w:t>
      </w:r>
      <w:r w:rsidR="00677DBA">
        <w:rPr>
          <w:rStyle w:val="SubtleEmphasis"/>
        </w:rPr>
        <w:t xml:space="preserve"> port</w:t>
      </w:r>
      <w:r>
        <w:rPr>
          <w:rStyle w:val="SubtleEmphasis"/>
        </w:rPr>
        <w:t>s</w:t>
      </w:r>
      <w:r w:rsidR="00677DBA">
        <w:rPr>
          <w:rStyle w:val="SubtleEmphasis"/>
        </w:rPr>
        <w:t>, port facilit</w:t>
      </w:r>
      <w:r w:rsidR="00165A5B">
        <w:rPr>
          <w:rStyle w:val="SubtleEmphasis"/>
        </w:rPr>
        <w:t>ies</w:t>
      </w:r>
      <w:r w:rsidR="00677DBA">
        <w:rPr>
          <w:rStyle w:val="SubtleEmphasis"/>
        </w:rPr>
        <w:t xml:space="preserve">, </w:t>
      </w:r>
      <w:r>
        <w:rPr>
          <w:rStyle w:val="SubtleEmphasis"/>
        </w:rPr>
        <w:t xml:space="preserve">and </w:t>
      </w:r>
      <w:r w:rsidR="00677DBA">
        <w:rPr>
          <w:rStyle w:val="SubtleEmphasis"/>
        </w:rPr>
        <w:t xml:space="preserve">offshore facilities </w:t>
      </w:r>
      <w:r w:rsidR="005C4223" w:rsidRPr="005C4223">
        <w:rPr>
          <w:rStyle w:val="SubtleEmphasis"/>
        </w:rPr>
        <w:t>have particular security responsibilities</w:t>
      </w:r>
      <w:r w:rsidR="00165A5B">
        <w:rPr>
          <w:rStyle w:val="SubtleEmphasis"/>
        </w:rPr>
        <w:t xml:space="preserve"> an</w:t>
      </w:r>
      <w:r w:rsidR="00534E57">
        <w:rPr>
          <w:rStyle w:val="SubtleEmphasis"/>
        </w:rPr>
        <w:t>d</w:t>
      </w:r>
      <w:r w:rsidR="00165A5B">
        <w:rPr>
          <w:rStyle w:val="SubtleEmphasis"/>
        </w:rPr>
        <w:t xml:space="preserve"> may require</w:t>
      </w:r>
      <w:r w:rsidR="005C4223" w:rsidRPr="005C4223">
        <w:rPr>
          <w:rStyle w:val="SubtleEmphasis"/>
        </w:rPr>
        <w:t xml:space="preserve"> an approved </w:t>
      </w:r>
      <w:r w:rsidR="001B62EF">
        <w:rPr>
          <w:rStyle w:val="SubtleEmphasis"/>
        </w:rPr>
        <w:t xml:space="preserve">security plan </w:t>
      </w:r>
    </w:p>
    <w:p w14:paraId="7531ADDE" w14:textId="77777777" w:rsidR="00BF3D9C" w:rsidRDefault="00B82084" w:rsidP="000F3BA2">
      <w:pPr>
        <w:pStyle w:val="Heading2"/>
        <w:rPr>
          <w:lang w:val="en-US"/>
        </w:rPr>
      </w:pPr>
      <w:r w:rsidRPr="003E1438">
        <w:t>1.</w:t>
      </w:r>
      <w:r w:rsidRPr="003E1438">
        <w:tab/>
      </w:r>
      <w:r w:rsidR="006377C2" w:rsidRPr="006377C2">
        <w:rPr>
          <w:lang w:val="en-US"/>
        </w:rPr>
        <w:t>Regulation of maritime security in Australia</w:t>
      </w:r>
    </w:p>
    <w:p w14:paraId="7531ADDF" w14:textId="77777777" w:rsidR="00EA055A" w:rsidRDefault="006377C2" w:rsidP="00261DD6">
      <w:pPr>
        <w:spacing w:before="120" w:after="0"/>
        <w:ind w:right="-215"/>
        <w:rPr>
          <w:rFonts w:cstheme="minorHAnsi"/>
          <w:lang w:val="en-US"/>
        </w:rPr>
      </w:pPr>
      <w:r w:rsidRPr="006377C2">
        <w:rPr>
          <w:rFonts w:cstheme="minorHAnsi"/>
          <w:lang w:val="en-US"/>
        </w:rPr>
        <w:t xml:space="preserve">The Australian Government regulates the security of the Australian maritime transport through the </w:t>
      </w:r>
      <w:hyperlink r:id="rId16" w:history="1">
        <w:r w:rsidRPr="008B4342">
          <w:rPr>
            <w:rStyle w:val="Emphasis"/>
            <w:rFonts w:cstheme="minorHAnsi"/>
            <w:color w:val="005677"/>
            <w:u w:val="single"/>
            <w:lang w:val="en-US"/>
          </w:rPr>
          <w:t>Maritime Transport and Offshore Facilities Security Act 2003</w:t>
        </w:r>
      </w:hyperlink>
      <w:r w:rsidRPr="006377C2">
        <w:rPr>
          <w:rFonts w:cstheme="minorHAnsi"/>
          <w:lang w:val="en-US"/>
        </w:rPr>
        <w:t xml:space="preserve"> (MTOFSA) and the </w:t>
      </w:r>
      <w:hyperlink r:id="rId17" w:history="1">
        <w:r w:rsidRPr="00253D1D">
          <w:rPr>
            <w:rFonts w:cstheme="minorHAnsi"/>
            <w:i/>
            <w:color w:val="005677"/>
            <w:u w:val="single"/>
            <w:lang w:val="en-US"/>
          </w:rPr>
          <w:t>Maritime Transport and Offshore Facilities Security Regulations 2003</w:t>
        </w:r>
      </w:hyperlink>
      <w:r w:rsidRPr="00946BCB">
        <w:rPr>
          <w:rFonts w:cstheme="minorHAnsi"/>
          <w:lang w:val="en-US"/>
        </w:rPr>
        <w:t xml:space="preserve">. </w:t>
      </w:r>
      <w:r w:rsidR="001B62EF">
        <w:rPr>
          <w:rFonts w:cstheme="minorHAnsi"/>
          <w:lang w:val="en-US"/>
        </w:rPr>
        <w:t xml:space="preserve">This legislation meets obligations in response to Chapter XI-2 of the </w:t>
      </w:r>
      <w:r w:rsidR="001B62EF" w:rsidRPr="001B62EF">
        <w:rPr>
          <w:rFonts w:cstheme="minorHAnsi"/>
          <w:i/>
          <w:lang w:val="en-US"/>
        </w:rPr>
        <w:t>International Convention for the Safety of Life at Sea 1974</w:t>
      </w:r>
      <w:r w:rsidR="001B62EF">
        <w:rPr>
          <w:rFonts w:cstheme="minorHAnsi"/>
          <w:lang w:val="en-US"/>
        </w:rPr>
        <w:t xml:space="preserve"> and the </w:t>
      </w:r>
      <w:r w:rsidR="001B62EF" w:rsidRPr="001B62EF">
        <w:rPr>
          <w:rFonts w:cstheme="minorHAnsi"/>
          <w:i/>
          <w:lang w:val="en-US"/>
        </w:rPr>
        <w:t xml:space="preserve">International Ship and Port Facility Security Code 2003 </w:t>
      </w:r>
      <w:r w:rsidR="001B62EF">
        <w:rPr>
          <w:rFonts w:cstheme="minorHAnsi"/>
          <w:lang w:val="en-US"/>
        </w:rPr>
        <w:t>(ISPS).</w:t>
      </w:r>
    </w:p>
    <w:p w14:paraId="09C105B9" w14:textId="3C565B75" w:rsidR="00F00256" w:rsidRDefault="005078E6" w:rsidP="00261DD6">
      <w:pPr>
        <w:spacing w:before="120" w:after="0"/>
        <w:ind w:right="-215"/>
        <w:rPr>
          <w:rFonts w:cstheme="minorHAnsi"/>
          <w:lang w:val="en-US"/>
        </w:rPr>
      </w:pPr>
      <w:r>
        <w:rPr>
          <w:rFonts w:cstheme="minorHAnsi"/>
          <w:lang w:val="en-US"/>
        </w:rPr>
        <w:t>This legislation</w:t>
      </w:r>
      <w:r w:rsidR="00C67DE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establishes a scheme to safeguard against unlawful interferences with maritime transport or offshore facilities, and </w:t>
      </w:r>
      <w:r w:rsidR="00C67DEB">
        <w:rPr>
          <w:rFonts w:cstheme="minorHAnsi"/>
          <w:lang w:val="en-US"/>
        </w:rPr>
        <w:t>set</w:t>
      </w:r>
      <w:r>
        <w:rPr>
          <w:rFonts w:cstheme="minorHAnsi"/>
          <w:lang w:val="en-US"/>
        </w:rPr>
        <w:t>s</w:t>
      </w:r>
      <w:r w:rsidR="00C67DEB">
        <w:rPr>
          <w:rFonts w:cstheme="minorHAnsi"/>
          <w:lang w:val="en-US"/>
        </w:rPr>
        <w:t xml:space="preserve"> o</w:t>
      </w:r>
      <w:bookmarkStart w:id="0" w:name="_GoBack"/>
      <w:bookmarkEnd w:id="0"/>
      <w:r w:rsidR="00C67DEB">
        <w:rPr>
          <w:rFonts w:cstheme="minorHAnsi"/>
          <w:lang w:val="en-US"/>
        </w:rPr>
        <w:t>ut a framework</w:t>
      </w:r>
      <w:r>
        <w:rPr>
          <w:rFonts w:cstheme="minorHAnsi"/>
          <w:lang w:val="en-US"/>
        </w:rPr>
        <w:t xml:space="preserve"> to regulate maritime industry participants including security regulated ships, port operators, port facility operators, </w:t>
      </w:r>
      <w:r w:rsidR="0074370A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 xml:space="preserve">offshore facilities. </w:t>
      </w:r>
    </w:p>
    <w:p w14:paraId="7531ADE0" w14:textId="624C65D8" w:rsidR="00C67DEB" w:rsidRDefault="005078E6" w:rsidP="00261DD6">
      <w:pPr>
        <w:spacing w:before="120" w:after="0"/>
        <w:ind w:right="-215"/>
        <w:rPr>
          <w:rFonts w:cstheme="minorHAnsi"/>
          <w:lang w:val="en-US"/>
        </w:rPr>
      </w:pPr>
      <w:r w:rsidRPr="00D63605">
        <w:rPr>
          <w:rFonts w:cstheme="minorHAnsi"/>
          <w:lang w:val="en-US"/>
        </w:rPr>
        <w:t>The framework</w:t>
      </w:r>
      <w:r w:rsidR="00C67DEB" w:rsidRPr="00D63605">
        <w:rPr>
          <w:rFonts w:cstheme="minorHAnsi"/>
          <w:lang w:val="en-US"/>
        </w:rPr>
        <w:t xml:space="preserve"> </w:t>
      </w:r>
      <w:proofErr w:type="spellStart"/>
      <w:r w:rsidR="00C67DEB" w:rsidRPr="00D63605">
        <w:rPr>
          <w:rFonts w:cstheme="minorHAnsi"/>
          <w:lang w:val="en-US"/>
        </w:rPr>
        <w:t>centres</w:t>
      </w:r>
      <w:proofErr w:type="spellEnd"/>
      <w:r w:rsidR="00C67DEB" w:rsidRPr="00D63605">
        <w:rPr>
          <w:rFonts w:cstheme="minorHAnsi"/>
          <w:lang w:val="en-US"/>
        </w:rPr>
        <w:t xml:space="preserve"> on maritime industry participants assessing their operations for security risks, and preparing a security plan which sets out measures to counter these identified risks.</w:t>
      </w:r>
      <w:r w:rsidR="00C67DEB">
        <w:rPr>
          <w:rFonts w:cstheme="minorHAnsi"/>
          <w:lang w:val="en-US"/>
        </w:rPr>
        <w:t xml:space="preserve"> </w:t>
      </w:r>
    </w:p>
    <w:p w14:paraId="1778EFC8" w14:textId="36AC7CBE" w:rsidR="008054F5" w:rsidRDefault="008054F5" w:rsidP="00261DD6">
      <w:pPr>
        <w:spacing w:before="120" w:after="0"/>
        <w:ind w:right="-215"/>
        <w:rPr>
          <w:rFonts w:cstheme="minorHAnsi"/>
          <w:lang w:val="en-US"/>
        </w:rPr>
      </w:pPr>
      <w:r w:rsidRPr="008054F5">
        <w:rPr>
          <w:rFonts w:cstheme="minorHAnsi"/>
          <w:lang w:val="en-US"/>
        </w:rPr>
        <w:t xml:space="preserve">Maritime industry participants </w:t>
      </w:r>
      <w:r w:rsidR="002C7B7A">
        <w:rPr>
          <w:rFonts w:cstheme="minorHAnsi"/>
          <w:lang w:val="en-US"/>
        </w:rPr>
        <w:t xml:space="preserve">are </w:t>
      </w:r>
      <w:r w:rsidRPr="008054F5">
        <w:rPr>
          <w:rFonts w:cstheme="minorHAnsi"/>
          <w:lang w:val="en-US"/>
        </w:rPr>
        <w:t>responsible for delivering security on a day-to-day basis</w:t>
      </w:r>
      <w:r w:rsidR="00D63605">
        <w:rPr>
          <w:rFonts w:cstheme="minorHAnsi"/>
          <w:lang w:val="en-US"/>
        </w:rPr>
        <w:t xml:space="preserve">. </w:t>
      </w:r>
    </w:p>
    <w:p w14:paraId="7531ADE1" w14:textId="77777777" w:rsidR="00165A5B" w:rsidRDefault="00B82084" w:rsidP="00B81FA6">
      <w:pPr>
        <w:pStyle w:val="Heading2"/>
        <w:rPr>
          <w:lang w:val="en-US"/>
        </w:rPr>
      </w:pPr>
      <w:r w:rsidRPr="00253D1D">
        <w:rPr>
          <w:lang w:val="en-US"/>
        </w:rPr>
        <w:t>2.</w:t>
      </w:r>
      <w:r w:rsidRPr="00253D1D">
        <w:rPr>
          <w:lang w:val="en-US"/>
        </w:rPr>
        <w:tab/>
      </w:r>
      <w:r w:rsidR="00165A5B">
        <w:rPr>
          <w:lang w:val="en-US"/>
        </w:rPr>
        <w:t>Who provides approvals?</w:t>
      </w:r>
    </w:p>
    <w:p w14:paraId="7531ADE2" w14:textId="7BA3C60C" w:rsidR="00165A5B" w:rsidRDefault="00165A5B" w:rsidP="00165A5B">
      <w:pPr>
        <w:spacing w:before="120" w:after="0"/>
        <w:ind w:right="-21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Department of Home Affairs administers this legislative framework. </w:t>
      </w:r>
    </w:p>
    <w:p w14:paraId="7531ADE3" w14:textId="77777777" w:rsidR="00515DA5" w:rsidRDefault="00165A5B" w:rsidP="00B81FA6">
      <w:pPr>
        <w:pStyle w:val="Heading2"/>
        <w:rPr>
          <w:lang w:val="en-US"/>
        </w:rPr>
      </w:pPr>
      <w:r>
        <w:rPr>
          <w:lang w:val="en-US"/>
        </w:rPr>
        <w:t xml:space="preserve">3. </w:t>
      </w:r>
      <w:r w:rsidR="00DD0965" w:rsidRPr="00253D1D">
        <w:rPr>
          <w:lang w:val="en-US"/>
        </w:rPr>
        <w:t xml:space="preserve">Security </w:t>
      </w:r>
      <w:r w:rsidR="00515DA5">
        <w:rPr>
          <w:lang w:val="en-US"/>
        </w:rPr>
        <w:t>assessments</w:t>
      </w:r>
    </w:p>
    <w:p w14:paraId="7531ADE5" w14:textId="763530EB" w:rsidR="00946BCB" w:rsidRPr="001B6639" w:rsidRDefault="00515DA5" w:rsidP="00253D1D">
      <w:pPr>
        <w:spacing w:before="120" w:after="0"/>
        <w:ind w:right="-215"/>
        <w:rPr>
          <w:rFonts w:cstheme="minorHAnsi"/>
          <w:lang w:val="en-US"/>
        </w:rPr>
      </w:pPr>
      <w:r w:rsidRPr="001B6639">
        <w:rPr>
          <w:rFonts w:cstheme="minorHAnsi"/>
          <w:lang w:val="en-US"/>
        </w:rPr>
        <w:t xml:space="preserve">The MTOFSA requires that security assessments are undertaken </w:t>
      </w:r>
      <w:r w:rsidR="001B6639">
        <w:rPr>
          <w:rFonts w:cstheme="minorHAnsi"/>
          <w:lang w:val="en-US"/>
        </w:rPr>
        <w:t>for</w:t>
      </w:r>
      <w:r w:rsidRPr="001B6639">
        <w:rPr>
          <w:rFonts w:cstheme="minorHAnsi"/>
          <w:lang w:val="en-US"/>
        </w:rPr>
        <w:t xml:space="preserve"> security regulated maritime, shipping and offshore facility operations</w:t>
      </w:r>
      <w:r w:rsidR="008054F5">
        <w:rPr>
          <w:rFonts w:cstheme="minorHAnsi"/>
          <w:lang w:val="en-US"/>
        </w:rPr>
        <w:t xml:space="preserve">. These form a critical part of a </w:t>
      </w:r>
      <w:r w:rsidR="008054F5">
        <w:rPr>
          <w:rFonts w:cstheme="minorHAnsi"/>
          <w:lang w:val="en-US"/>
        </w:rPr>
        <w:t>successfully developed security plan.</w:t>
      </w:r>
      <w:r w:rsidRPr="001B6639">
        <w:rPr>
          <w:rFonts w:cstheme="minorHAnsi"/>
          <w:lang w:val="en-US"/>
        </w:rPr>
        <w:t xml:space="preserve"> Security risks and vulnerabilities identified through this assessment will inform the mitigation measures contained in the security plan.</w:t>
      </w:r>
    </w:p>
    <w:p w14:paraId="7531ADE6" w14:textId="77777777" w:rsidR="00D31A5C" w:rsidRPr="00253D1D" w:rsidRDefault="00165A5B" w:rsidP="00801B85">
      <w:pPr>
        <w:pStyle w:val="Heading2"/>
        <w:spacing w:line="360" w:lineRule="auto"/>
        <w:rPr>
          <w:lang w:val="en-US"/>
        </w:rPr>
      </w:pPr>
      <w:r>
        <w:rPr>
          <w:lang w:val="en-US"/>
        </w:rPr>
        <w:t>4</w:t>
      </w:r>
      <w:r w:rsidR="00515DA5">
        <w:rPr>
          <w:lang w:val="en-US"/>
        </w:rPr>
        <w:t xml:space="preserve">. Security </w:t>
      </w:r>
      <w:r w:rsidR="00DD0965" w:rsidRPr="00253D1D">
        <w:rPr>
          <w:lang w:val="en-US"/>
        </w:rPr>
        <w:t>plans</w:t>
      </w:r>
      <w:r w:rsidR="00D31A5C" w:rsidRPr="00253D1D">
        <w:rPr>
          <w:lang w:val="en-US"/>
        </w:rPr>
        <w:t xml:space="preserve"> </w:t>
      </w:r>
    </w:p>
    <w:p w14:paraId="7531ADE7" w14:textId="77777777" w:rsidR="00EA055A" w:rsidRDefault="00DD0965" w:rsidP="00253D1D">
      <w:pPr>
        <w:rPr>
          <w:rFonts w:cstheme="minorHAnsi"/>
          <w:lang w:val="en-US"/>
        </w:rPr>
      </w:pPr>
      <w:r w:rsidRPr="00253D1D">
        <w:rPr>
          <w:rFonts w:cstheme="minorHAnsi"/>
          <w:lang w:val="en-US"/>
        </w:rPr>
        <w:t xml:space="preserve">The MTOFSA </w:t>
      </w:r>
      <w:r>
        <w:rPr>
          <w:rFonts w:cstheme="minorHAnsi"/>
          <w:lang w:val="en-US"/>
        </w:rPr>
        <w:t>requires certain maritime industry participants to have an approved security plan. All security plans must set out, among other things:</w:t>
      </w:r>
    </w:p>
    <w:p w14:paraId="7531ADE8" w14:textId="51267352" w:rsidR="00DD0965" w:rsidRDefault="001928A0" w:rsidP="00253D1D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30" w:after="30"/>
        <w:ind w:left="36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measures</w:t>
      </w:r>
      <w:proofErr w:type="gramEnd"/>
      <w:r>
        <w:rPr>
          <w:rFonts w:cstheme="minorHAnsi"/>
          <w:lang w:val="en-US"/>
        </w:rPr>
        <w:t xml:space="preserve"> </w:t>
      </w:r>
      <w:r w:rsidR="009A783C">
        <w:rPr>
          <w:rFonts w:cstheme="minorHAnsi"/>
          <w:lang w:val="en-US"/>
        </w:rPr>
        <w:t xml:space="preserve">to manage risks identified in a security assessment, </w:t>
      </w:r>
      <w:r>
        <w:rPr>
          <w:rFonts w:cstheme="minorHAnsi"/>
          <w:lang w:val="en-US"/>
        </w:rPr>
        <w:t>at different maritime security levels.</w:t>
      </w:r>
    </w:p>
    <w:p w14:paraId="7531ADE9" w14:textId="14D23CB3" w:rsidR="001928A0" w:rsidRDefault="001928A0" w:rsidP="00253D1D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30" w:after="30"/>
        <w:ind w:left="36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the</w:t>
      </w:r>
      <w:proofErr w:type="gramEnd"/>
      <w:r>
        <w:rPr>
          <w:rFonts w:cstheme="minorHAnsi"/>
          <w:lang w:val="en-US"/>
        </w:rPr>
        <w:t xml:space="preserve"> powers and responsibilities of </w:t>
      </w:r>
      <w:r w:rsidR="008E3B25">
        <w:rPr>
          <w:rFonts w:cstheme="minorHAnsi"/>
          <w:lang w:val="en-US"/>
        </w:rPr>
        <w:t>officers</w:t>
      </w:r>
      <w:r>
        <w:rPr>
          <w:rFonts w:cstheme="minorHAnsi"/>
          <w:lang w:val="en-US"/>
        </w:rPr>
        <w:t>, including maritime security guards</w:t>
      </w:r>
      <w:r w:rsidR="00D47358">
        <w:rPr>
          <w:rFonts w:cstheme="minorHAnsi"/>
          <w:lang w:val="en-US"/>
        </w:rPr>
        <w:t>, ship security officers, port and port facility security officers.</w:t>
      </w:r>
    </w:p>
    <w:p w14:paraId="7531ADEA" w14:textId="77777777" w:rsidR="001928A0" w:rsidRDefault="001928A0" w:rsidP="00253D1D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30" w:after="30"/>
        <w:ind w:left="36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procedures</w:t>
      </w:r>
      <w:proofErr w:type="gramEnd"/>
      <w:r>
        <w:rPr>
          <w:rFonts w:cstheme="minorHAnsi"/>
          <w:lang w:val="en-US"/>
        </w:rPr>
        <w:t xml:space="preserve"> for incident reporting.</w:t>
      </w:r>
    </w:p>
    <w:p w14:paraId="7531ADEB" w14:textId="4A7C7CE5" w:rsidR="001928A0" w:rsidRDefault="001928A0" w:rsidP="00253D1D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before="30" w:after="30"/>
        <w:ind w:left="36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measures</w:t>
      </w:r>
      <w:proofErr w:type="gramEnd"/>
      <w:r>
        <w:rPr>
          <w:rFonts w:cstheme="minorHAnsi"/>
          <w:lang w:val="en-US"/>
        </w:rPr>
        <w:t xml:space="preserve"> to prevent the introduction of weapons and prohibited items.</w:t>
      </w:r>
    </w:p>
    <w:p w14:paraId="7531ADEC" w14:textId="77777777" w:rsidR="001C3913" w:rsidRPr="000F3BA2" w:rsidRDefault="00165A5B" w:rsidP="000F3BA2">
      <w:pPr>
        <w:pStyle w:val="Heading2"/>
      </w:pPr>
      <w:r>
        <w:t>5</w:t>
      </w:r>
      <w:r w:rsidR="000F3BA2" w:rsidRPr="000F3BA2">
        <w:t>.</w:t>
      </w:r>
      <w:r w:rsidR="000F3BA2" w:rsidRPr="000F3BA2">
        <w:tab/>
      </w:r>
      <w:r w:rsidR="001C3913" w:rsidRPr="000F3BA2">
        <w:t>More information</w:t>
      </w:r>
    </w:p>
    <w:p w14:paraId="7531ADED" w14:textId="77777777" w:rsidR="001C3913" w:rsidRDefault="001C3913" w:rsidP="00B81FA6">
      <w:pPr>
        <w:pStyle w:val="Heading3"/>
        <w:spacing w:before="120"/>
      </w:pPr>
      <w:r w:rsidRPr="00BF3D9C">
        <w:t>Commonwealth</w:t>
      </w:r>
    </w:p>
    <w:p w14:paraId="7531ADEE" w14:textId="77777777" w:rsidR="002B1715" w:rsidRDefault="001C3913" w:rsidP="008E3B25">
      <w:pPr>
        <w:rPr>
          <w:rFonts w:ascii="Roboto" w:hAnsi="Roboto" w:cs="Helvetica"/>
          <w:sz w:val="21"/>
          <w:szCs w:val="21"/>
        </w:rPr>
      </w:pPr>
      <w:r>
        <w:t xml:space="preserve">For more information on </w:t>
      </w:r>
      <w:r w:rsidR="006E3808">
        <w:t>the regulation of maritime</w:t>
      </w:r>
      <w:r>
        <w:t xml:space="preserve"> security</w:t>
      </w:r>
      <w:r w:rsidR="006E3808">
        <w:t xml:space="preserve"> in Australia</w:t>
      </w:r>
      <w:r>
        <w:t xml:space="preserve">, visit the </w:t>
      </w:r>
      <w:hyperlink r:id="rId18" w:history="1">
        <w:r w:rsidR="009A2EDA" w:rsidRPr="00E31A39">
          <w:rPr>
            <w:rStyle w:val="Hyperlink"/>
          </w:rPr>
          <w:t>Department of Home Affairs</w:t>
        </w:r>
        <w:r w:rsidRPr="00E31A39">
          <w:rPr>
            <w:rStyle w:val="Hyperlink"/>
          </w:rPr>
          <w:t xml:space="preserve"> </w:t>
        </w:r>
        <w:r w:rsidR="00E31A39" w:rsidRPr="00E31A39">
          <w:rPr>
            <w:rStyle w:val="Hyperlink"/>
          </w:rPr>
          <w:t>website</w:t>
        </w:r>
      </w:hyperlink>
      <w:r w:rsidR="00E31A39">
        <w:rPr>
          <w:rStyle w:val="Hyperlink"/>
          <w:color w:val="auto"/>
          <w:u w:val="none"/>
        </w:rPr>
        <w:t xml:space="preserve"> </w:t>
      </w:r>
      <w:r w:rsidRPr="00BF5B60">
        <w:rPr>
          <w:rStyle w:val="Hyperlink"/>
          <w:color w:val="auto"/>
          <w:u w:val="none"/>
        </w:rPr>
        <w:t>or p</w:t>
      </w:r>
      <w:r w:rsidRPr="00BF5B60">
        <w:t xml:space="preserve">hone </w:t>
      </w:r>
      <w:r w:rsidRPr="00992AB9">
        <w:rPr>
          <w:rFonts w:cstheme="minorHAnsi"/>
        </w:rPr>
        <w:t xml:space="preserve">1300 791 581 or </w:t>
      </w:r>
      <w:r w:rsidR="008E3B25" w:rsidRPr="001B1E0B">
        <w:rPr>
          <w:rStyle w:val="baec5a81-e4d6-4674-97f3-e9220f0136c1"/>
          <w:rFonts w:cstheme="minorHAnsi"/>
        </w:rPr>
        <w:t>+61 2 5127 8995</w:t>
      </w:r>
      <w:r w:rsidR="008E3B25" w:rsidRPr="001B1E0B">
        <w:rPr>
          <w:rFonts w:cstheme="minorHAnsi"/>
        </w:rPr>
        <w:t xml:space="preserve"> (from outside Australia).</w:t>
      </w:r>
      <w:r w:rsidR="008E3B25" w:rsidRPr="00CF0E02">
        <w:rPr>
          <w:rFonts w:ascii="Roboto" w:hAnsi="Roboto" w:cs="Helvetica"/>
          <w:sz w:val="21"/>
          <w:szCs w:val="21"/>
        </w:rPr>
        <w:t xml:space="preserve"> </w:t>
      </w:r>
    </w:p>
    <w:p w14:paraId="7531ADF0" w14:textId="77777777" w:rsidR="00C769C1" w:rsidRPr="002B1715" w:rsidRDefault="00C769C1" w:rsidP="001F5105">
      <w:pPr>
        <w:spacing w:after="0"/>
        <w:rPr>
          <w:b/>
        </w:rPr>
      </w:pPr>
      <w:r w:rsidRPr="002B1715">
        <w:rPr>
          <w:b/>
        </w:rPr>
        <w:t>Major Projects Facilitation Agency</w:t>
      </w:r>
    </w:p>
    <w:p w14:paraId="7531ADF1" w14:textId="77777777" w:rsidR="00C769C1" w:rsidRDefault="00C769C1" w:rsidP="00BF3D9C">
      <w:pPr>
        <w:spacing w:before="20" w:after="20"/>
        <w:rPr>
          <w:rFonts w:cstheme="minorHAnsi"/>
        </w:rPr>
      </w:pPr>
      <w:r>
        <w:rPr>
          <w:rFonts w:cstheme="minorHAnsi"/>
        </w:rPr>
        <w:t>If you would like assistance</w:t>
      </w:r>
      <w:r w:rsidR="003219AC">
        <w:rPr>
          <w:rFonts w:cstheme="minorHAnsi"/>
        </w:rPr>
        <w:t xml:space="preserve"> to identify the regulatory obligations for your project, please</w:t>
      </w:r>
      <w:r>
        <w:rPr>
          <w:rFonts w:cstheme="minorHAnsi"/>
        </w:rPr>
        <w:t xml:space="preserve"> visit our </w:t>
      </w:r>
      <w:hyperlink r:id="rId19" w:history="1">
        <w:r w:rsidR="00D57FC2" w:rsidRPr="00D57FC2">
          <w:rPr>
            <w:rStyle w:val="Hyperlink"/>
            <w:rFonts w:cstheme="minorHAnsi"/>
          </w:rPr>
          <w:t>Online Tool</w:t>
        </w:r>
      </w:hyperlink>
      <w:r w:rsidR="00D57FC2">
        <w:rPr>
          <w:rFonts w:cstheme="minorHAnsi"/>
        </w:rPr>
        <w:t xml:space="preserve"> </w:t>
      </w:r>
      <w:r>
        <w:rPr>
          <w:rFonts w:cstheme="minorHAnsi"/>
        </w:rPr>
        <w:t>or contact us:</w:t>
      </w:r>
    </w:p>
    <w:p w14:paraId="7531ADF3" w14:textId="439F8CE7" w:rsidR="00BF3D9C" w:rsidRPr="008B4342" w:rsidRDefault="00C769C1" w:rsidP="00A74053">
      <w:pPr>
        <w:spacing w:before="20" w:after="20"/>
        <w:rPr>
          <w:b/>
          <w:bCs/>
          <w:i/>
          <w:iCs/>
          <w:u w:val="single"/>
        </w:rPr>
      </w:pPr>
      <w:r>
        <w:t>Email:</w:t>
      </w:r>
      <w:r>
        <w:tab/>
      </w:r>
      <w:r>
        <w:tab/>
      </w:r>
      <w:r w:rsidR="00CC6532" w:rsidRPr="00CC6532">
        <w:rPr>
          <w:rStyle w:val="Hyperlink"/>
        </w:rPr>
        <w:t>mpfa@industry.gov.au</w:t>
      </w:r>
    </w:p>
    <w:sectPr w:rsidR="00BF3D9C" w:rsidRPr="008B4342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ADF6" w14:textId="77777777" w:rsidR="00DC1B91" w:rsidRDefault="00DC1B91" w:rsidP="00B526AB">
      <w:pPr>
        <w:spacing w:after="0"/>
      </w:pPr>
      <w:r>
        <w:separator/>
      </w:r>
    </w:p>
  </w:endnote>
  <w:endnote w:type="continuationSeparator" w:id="0">
    <w:p w14:paraId="7531ADF7" w14:textId="77777777" w:rsidR="00DC1B91" w:rsidRDefault="00DC1B91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ADF8" w14:textId="77777777" w:rsidR="006709E4" w:rsidRDefault="00484253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709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9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31ADF9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ADFA" w14:textId="23DE4AFD" w:rsidR="006709E4" w:rsidRPr="007B2AA7" w:rsidRDefault="00484253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="006709E4"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D01250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7531ADFB" w14:textId="77777777" w:rsidR="006709E4" w:rsidRDefault="006709E4" w:rsidP="008B4342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8B4342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="00E77AF1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ADFD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7531ADFE" w14:textId="77777777" w:rsidR="009F2945" w:rsidRDefault="006709E4" w:rsidP="009F2945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9F2945">
      <w:t xml:space="preserve"> The Major Project</w:t>
    </w:r>
    <w:r w:rsidR="00CB2B32">
      <w:t>s</w:t>
    </w:r>
    <w:r w:rsidR="009F2945">
      <w:t xml:space="preserve"> </w:t>
    </w:r>
    <w:r w:rsidR="001A524A">
      <w:t>Facilitation Agency (MPF</w:t>
    </w:r>
    <w:r w:rsidR="009F2945">
      <w:t>A) assists Major Project Proponents to</w:t>
    </w:r>
    <w:r w:rsidR="00CB2B32">
      <w:t xml:space="preserve"> navigate the approvals process.</w:t>
    </w:r>
    <w:r w:rsidR="009F2945">
      <w:t xml:space="preserve"> </w:t>
    </w:r>
    <w:r w:rsidR="001A524A">
      <w:t>The MPF</w:t>
    </w:r>
    <w:r w:rsidR="00CB2B32">
      <w:t xml:space="preserve">A </w:t>
    </w:r>
    <w:r w:rsidR="009F2945">
      <w:t>does not grant approvals, nor administer this Act or Regulations.</w:t>
    </w:r>
  </w:p>
  <w:p w14:paraId="7531ADFF" w14:textId="2C4CE579" w:rsidR="006709E4" w:rsidRDefault="00235FEF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400592" w:rsidRPr="00E348DA">
        <w:rPr>
          <w:rStyle w:val="Hyperlink"/>
        </w:rPr>
        <w:t>www.business.gov.au/mpfa</w:t>
      </w:r>
    </w:hyperlink>
    <w:r w:rsidR="00400592">
      <w:t xml:space="preserve"> </w:t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400592">
      <w:tab/>
    </w:r>
    <w:r w:rsidR="00CC6532" w:rsidRPr="00CC6532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B973BF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ADF4" w14:textId="77777777" w:rsidR="00DC1B91" w:rsidRDefault="00DC1B91" w:rsidP="00B526AB">
      <w:pPr>
        <w:spacing w:after="0"/>
      </w:pPr>
      <w:r>
        <w:separator/>
      </w:r>
    </w:p>
  </w:footnote>
  <w:footnote w:type="continuationSeparator" w:id="0">
    <w:p w14:paraId="7531ADF5" w14:textId="77777777" w:rsidR="00DC1B91" w:rsidRDefault="00DC1B91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ADFC" w14:textId="77777777" w:rsidR="006709E4" w:rsidRDefault="001A524A">
    <w:pPr>
      <w:pStyle w:val="Header"/>
    </w:pPr>
    <w:r>
      <w:rPr>
        <w:noProof/>
        <w:lang w:eastAsia="en-AU"/>
      </w:rPr>
      <w:drawing>
        <wp:inline distT="0" distB="0" distL="0" distR="0" wp14:anchorId="7531AE00" wp14:editId="7531AE01">
          <wp:extent cx="6443345" cy="3242945"/>
          <wp:effectExtent l="0" t="0" r="0" b="0"/>
          <wp:docPr id="1" name="Picture 1" descr="Australian Government | 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841693A"/>
    <w:multiLevelType w:val="multilevel"/>
    <w:tmpl w:val="493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D5614F"/>
    <w:multiLevelType w:val="hybridMultilevel"/>
    <w:tmpl w:val="BC1ADF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49D7"/>
    <w:multiLevelType w:val="multilevel"/>
    <w:tmpl w:val="F1028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100AF"/>
    <w:multiLevelType w:val="multilevel"/>
    <w:tmpl w:val="493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1188"/>
    <w:multiLevelType w:val="hybridMultilevel"/>
    <w:tmpl w:val="8906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C621D"/>
    <w:multiLevelType w:val="multilevel"/>
    <w:tmpl w:val="6D7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2D4B"/>
    <w:multiLevelType w:val="multilevel"/>
    <w:tmpl w:val="493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62D42"/>
    <w:multiLevelType w:val="hybridMultilevel"/>
    <w:tmpl w:val="8A1E28AE"/>
    <w:lvl w:ilvl="0" w:tplc="F7B810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B76B1"/>
    <w:multiLevelType w:val="multilevel"/>
    <w:tmpl w:val="6FE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60119"/>
    <w:multiLevelType w:val="multilevel"/>
    <w:tmpl w:val="907C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B22A3"/>
    <w:multiLevelType w:val="hybridMultilevel"/>
    <w:tmpl w:val="E6665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6EBB"/>
    <w:multiLevelType w:val="multilevel"/>
    <w:tmpl w:val="78B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B5D19"/>
    <w:multiLevelType w:val="multilevel"/>
    <w:tmpl w:val="8D3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76D82"/>
    <w:multiLevelType w:val="multilevel"/>
    <w:tmpl w:val="86EEDFEA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D7821"/>
    <w:multiLevelType w:val="multilevel"/>
    <w:tmpl w:val="C1E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274789"/>
    <w:multiLevelType w:val="hybridMultilevel"/>
    <w:tmpl w:val="0B9A8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74A0"/>
    <w:multiLevelType w:val="multilevel"/>
    <w:tmpl w:val="EC5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23"/>
  </w:num>
  <w:num w:numId="15">
    <w:abstractNumId w:val="21"/>
  </w:num>
  <w:num w:numId="16">
    <w:abstractNumId w:val="18"/>
  </w:num>
  <w:num w:numId="17">
    <w:abstractNumId w:val="15"/>
  </w:num>
  <w:num w:numId="18">
    <w:abstractNumId w:val="12"/>
  </w:num>
  <w:num w:numId="19">
    <w:abstractNumId w:val="10"/>
  </w:num>
  <w:num w:numId="20">
    <w:abstractNumId w:val="16"/>
  </w:num>
  <w:num w:numId="21">
    <w:abstractNumId w:val="13"/>
  </w:num>
  <w:num w:numId="22">
    <w:abstractNumId w:val="22"/>
  </w:num>
  <w:num w:numId="23">
    <w:abstractNumId w:val="19"/>
  </w:num>
  <w:num w:numId="24">
    <w:abstractNumId w:val="17"/>
  </w:num>
  <w:num w:numId="25">
    <w:abstractNumId w:val="11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25CB8"/>
    <w:rsid w:val="0002657C"/>
    <w:rsid w:val="0006493D"/>
    <w:rsid w:val="000834B1"/>
    <w:rsid w:val="000B2EC3"/>
    <w:rsid w:val="000F3BA2"/>
    <w:rsid w:val="00120CFB"/>
    <w:rsid w:val="00136904"/>
    <w:rsid w:val="001626F1"/>
    <w:rsid w:val="00163B54"/>
    <w:rsid w:val="00165A5B"/>
    <w:rsid w:val="001928A0"/>
    <w:rsid w:val="001A25AE"/>
    <w:rsid w:val="001A2DC6"/>
    <w:rsid w:val="001A524A"/>
    <w:rsid w:val="001B1E0B"/>
    <w:rsid w:val="001B62EF"/>
    <w:rsid w:val="001B6639"/>
    <w:rsid w:val="001C3913"/>
    <w:rsid w:val="001F5105"/>
    <w:rsid w:val="002300AC"/>
    <w:rsid w:val="00237A8F"/>
    <w:rsid w:val="00241B3A"/>
    <w:rsid w:val="00244596"/>
    <w:rsid w:val="00250A63"/>
    <w:rsid w:val="00253D1D"/>
    <w:rsid w:val="00261DD6"/>
    <w:rsid w:val="00263E00"/>
    <w:rsid w:val="0027105F"/>
    <w:rsid w:val="00276323"/>
    <w:rsid w:val="002A1DC9"/>
    <w:rsid w:val="002B1715"/>
    <w:rsid w:val="002B57BF"/>
    <w:rsid w:val="002C1258"/>
    <w:rsid w:val="002C7B7A"/>
    <w:rsid w:val="002D3954"/>
    <w:rsid w:val="002E14EA"/>
    <w:rsid w:val="002E201E"/>
    <w:rsid w:val="002F65AF"/>
    <w:rsid w:val="00304F04"/>
    <w:rsid w:val="00307893"/>
    <w:rsid w:val="003219AC"/>
    <w:rsid w:val="0033280E"/>
    <w:rsid w:val="0033701F"/>
    <w:rsid w:val="00350000"/>
    <w:rsid w:val="003507CC"/>
    <w:rsid w:val="0038442D"/>
    <w:rsid w:val="003B1EAC"/>
    <w:rsid w:val="003D1870"/>
    <w:rsid w:val="003E1438"/>
    <w:rsid w:val="003F26EA"/>
    <w:rsid w:val="00400592"/>
    <w:rsid w:val="00402E42"/>
    <w:rsid w:val="00407ECA"/>
    <w:rsid w:val="004111E9"/>
    <w:rsid w:val="00435E92"/>
    <w:rsid w:val="00436B60"/>
    <w:rsid w:val="00452BA6"/>
    <w:rsid w:val="004678CE"/>
    <w:rsid w:val="00484253"/>
    <w:rsid w:val="00492759"/>
    <w:rsid w:val="005005E2"/>
    <w:rsid w:val="005078E6"/>
    <w:rsid w:val="00515DA5"/>
    <w:rsid w:val="00523023"/>
    <w:rsid w:val="0053026C"/>
    <w:rsid w:val="00534E57"/>
    <w:rsid w:val="005642F2"/>
    <w:rsid w:val="0057207B"/>
    <w:rsid w:val="00585806"/>
    <w:rsid w:val="005C4223"/>
    <w:rsid w:val="005D0228"/>
    <w:rsid w:val="005E38A3"/>
    <w:rsid w:val="005F1934"/>
    <w:rsid w:val="00602C92"/>
    <w:rsid w:val="00612A48"/>
    <w:rsid w:val="006377C2"/>
    <w:rsid w:val="00651E09"/>
    <w:rsid w:val="006658C1"/>
    <w:rsid w:val="006709E4"/>
    <w:rsid w:val="00670FA2"/>
    <w:rsid w:val="00677DBA"/>
    <w:rsid w:val="0069653D"/>
    <w:rsid w:val="006B0076"/>
    <w:rsid w:val="006C2852"/>
    <w:rsid w:val="006C2F68"/>
    <w:rsid w:val="006C7F6D"/>
    <w:rsid w:val="006D4B5A"/>
    <w:rsid w:val="006E1767"/>
    <w:rsid w:val="006E3808"/>
    <w:rsid w:val="00723B30"/>
    <w:rsid w:val="0074370A"/>
    <w:rsid w:val="00760073"/>
    <w:rsid w:val="00765229"/>
    <w:rsid w:val="007767B9"/>
    <w:rsid w:val="007A7619"/>
    <w:rsid w:val="007B2AA7"/>
    <w:rsid w:val="007B3B61"/>
    <w:rsid w:val="007C04FA"/>
    <w:rsid w:val="007D7AC4"/>
    <w:rsid w:val="00801B85"/>
    <w:rsid w:val="008054F5"/>
    <w:rsid w:val="00805DE1"/>
    <w:rsid w:val="00822068"/>
    <w:rsid w:val="00850038"/>
    <w:rsid w:val="008649A0"/>
    <w:rsid w:val="0088639D"/>
    <w:rsid w:val="00887FD5"/>
    <w:rsid w:val="00891DF0"/>
    <w:rsid w:val="0089518E"/>
    <w:rsid w:val="008B4342"/>
    <w:rsid w:val="008C7A8F"/>
    <w:rsid w:val="008E3B25"/>
    <w:rsid w:val="00907CB3"/>
    <w:rsid w:val="0092552F"/>
    <w:rsid w:val="009445BD"/>
    <w:rsid w:val="00946BCB"/>
    <w:rsid w:val="00955703"/>
    <w:rsid w:val="00956813"/>
    <w:rsid w:val="00960D9F"/>
    <w:rsid w:val="009753F4"/>
    <w:rsid w:val="00975726"/>
    <w:rsid w:val="00991FDD"/>
    <w:rsid w:val="00992AB9"/>
    <w:rsid w:val="009A0EF0"/>
    <w:rsid w:val="009A10BD"/>
    <w:rsid w:val="009A2EDA"/>
    <w:rsid w:val="009A4C2D"/>
    <w:rsid w:val="009A741D"/>
    <w:rsid w:val="009A783C"/>
    <w:rsid w:val="009D7BB6"/>
    <w:rsid w:val="009E050D"/>
    <w:rsid w:val="009E60D8"/>
    <w:rsid w:val="009F2945"/>
    <w:rsid w:val="009F470B"/>
    <w:rsid w:val="00A51E16"/>
    <w:rsid w:val="00A6624F"/>
    <w:rsid w:val="00A74053"/>
    <w:rsid w:val="00A85BA1"/>
    <w:rsid w:val="00AA30B7"/>
    <w:rsid w:val="00AA6F15"/>
    <w:rsid w:val="00AC56D0"/>
    <w:rsid w:val="00AD321F"/>
    <w:rsid w:val="00AE5300"/>
    <w:rsid w:val="00B103F9"/>
    <w:rsid w:val="00B33EDE"/>
    <w:rsid w:val="00B526AB"/>
    <w:rsid w:val="00B61730"/>
    <w:rsid w:val="00B7370A"/>
    <w:rsid w:val="00B81FA6"/>
    <w:rsid w:val="00B82084"/>
    <w:rsid w:val="00B973BF"/>
    <w:rsid w:val="00BE3715"/>
    <w:rsid w:val="00BF3D9C"/>
    <w:rsid w:val="00BF5B60"/>
    <w:rsid w:val="00C014AE"/>
    <w:rsid w:val="00C234AB"/>
    <w:rsid w:val="00C26622"/>
    <w:rsid w:val="00C33E0E"/>
    <w:rsid w:val="00C67DEB"/>
    <w:rsid w:val="00C769C1"/>
    <w:rsid w:val="00CB2680"/>
    <w:rsid w:val="00CB2B32"/>
    <w:rsid w:val="00CB504F"/>
    <w:rsid w:val="00CC6532"/>
    <w:rsid w:val="00CC7875"/>
    <w:rsid w:val="00CE72B3"/>
    <w:rsid w:val="00CF0E02"/>
    <w:rsid w:val="00D01250"/>
    <w:rsid w:val="00D02AED"/>
    <w:rsid w:val="00D14E28"/>
    <w:rsid w:val="00D15CCD"/>
    <w:rsid w:val="00D31A5C"/>
    <w:rsid w:val="00D43B53"/>
    <w:rsid w:val="00D47358"/>
    <w:rsid w:val="00D57FC2"/>
    <w:rsid w:val="00D617FD"/>
    <w:rsid w:val="00D63605"/>
    <w:rsid w:val="00D87BC8"/>
    <w:rsid w:val="00DC1757"/>
    <w:rsid w:val="00DC1B91"/>
    <w:rsid w:val="00DC47B4"/>
    <w:rsid w:val="00DD0965"/>
    <w:rsid w:val="00E31A39"/>
    <w:rsid w:val="00E72774"/>
    <w:rsid w:val="00E77AF1"/>
    <w:rsid w:val="00EA055A"/>
    <w:rsid w:val="00EC1239"/>
    <w:rsid w:val="00EC702F"/>
    <w:rsid w:val="00ED17D8"/>
    <w:rsid w:val="00EE717E"/>
    <w:rsid w:val="00EF0383"/>
    <w:rsid w:val="00F00256"/>
    <w:rsid w:val="00F02684"/>
    <w:rsid w:val="00F11C75"/>
    <w:rsid w:val="00F25F29"/>
    <w:rsid w:val="00F33391"/>
    <w:rsid w:val="00F808AD"/>
    <w:rsid w:val="00FB7A45"/>
    <w:rsid w:val="00FC235F"/>
    <w:rsid w:val="00FC2C25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31ADDC"/>
  <w15:docId w15:val="{C17C7371-34CA-4132-AC21-DD06268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B3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A6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B81FA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FA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FA6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FA6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1FA6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C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C"/>
    <w:rPr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1A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1A39"/>
    <w:pPr>
      <w:spacing w:after="0" w:line="240" w:lineRule="auto"/>
    </w:pPr>
    <w:rPr>
      <w:spacing w:val="-2"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8E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homeaffairs.gov.au/about-us/our-portfolios/transport-security/maritime-securit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legislation.gov.au/Series/F2003B003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C2004A012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811</Value>
      <Value>1405</Value>
      <Value>7</Value>
      <Value>3</Value>
      <Value>801</Value>
      <Value>52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MPFA</TermName>
          <TermId xmlns="http://schemas.microsoft.com/office/infopath/2007/PartnerControls">31088aee-2429-400c-8f5f-eafa10a89e0a</TermId>
        </TermInfo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ccfa48ae-759f-4a7c-880d-f8e84efed37d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A3PSR54DD4M5-1894031199-260</_dlc_DocId>
    <_dlc_DocIdUrl xmlns="a36bd50b-1532-4c22-b385-5c082c960938">
      <Url>https://dochub/div/officeofnorthernaustralia/businessfunctions/majorprojects/programmemgmnt/_layouts/15/DocIdRedir.aspx?ID=A3PSR54DD4M5-1894031199-260</Url>
      <Description>A3PSR54DD4M5-1894031199-260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ACAE-A326-4F05-BC44-6B5AF6196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32F6D-F531-4414-942A-EAFA071FBCA0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4C119B-6FFA-4E05-B758-C9D604A8A355}"/>
</file>

<file path=customXml/itemProps4.xml><?xml version="1.0" encoding="utf-8"?>
<ds:datastoreItem xmlns:ds="http://schemas.openxmlformats.org/officeDocument/2006/customXml" ds:itemID="{10BFB1B1-7C20-41E5-8696-E45E58964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3B4F6A-48E8-4A06-BB02-F8BA056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MARITIME TRANSPORT AND OFFSHORE FACILITIES SECURITY ACT 2003</vt:lpstr>
    </vt:vector>
  </TitlesOfParts>
  <Company>DIISRTE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TRANSPORT AND OFFSHORE FACILITIES SECURITY ACT 2003</dc:title>
  <dc:creator>Gunning, Paul</dc:creator>
  <cp:lastModifiedBy>Pusceddu, Anna</cp:lastModifiedBy>
  <cp:revision>9</cp:revision>
  <dcterms:created xsi:type="dcterms:W3CDTF">2021-05-03T02:09:00Z</dcterms:created>
  <dcterms:modified xsi:type="dcterms:W3CDTF">2021-09-06T05:05:00Z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75a376f6-baa0-46d0-8757-6b58c7145952</vt:lpwstr>
  </property>
  <property fmtid="{D5CDD505-2E9C-101B-9397-08002B2CF9AE}" pid="8" name="DocHub_Year">
    <vt:lpwstr>811;#2018|224abc7b-6f7e-4064-b773-6750976429b5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801;#MPFA|31088aee-2429-400c-8f5f-eafa10a89e0a;#1405;#Programme|ccfa48ae-759f-4a7c-880d-f8e84efed37d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