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5EB6" w14:textId="77777777" w:rsidR="00B61914" w:rsidRPr="00780F7E" w:rsidRDefault="00FF41AB" w:rsidP="008716AC">
      <w:pPr>
        <w:pStyle w:val="Heading1"/>
        <w:rPr>
          <w:b w:val="0"/>
        </w:rPr>
      </w:pPr>
      <w:r>
        <w:t>OFFSHORE PETROLEUM AND GREE</w:t>
      </w:r>
      <w:r w:rsidR="00AB562C">
        <w:t>N</w:t>
      </w:r>
      <w:r>
        <w:t>HOUSE GAS STORAGE ACT 2006</w:t>
      </w:r>
    </w:p>
    <w:p w14:paraId="0D3C5EB8" w14:textId="684F44E3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>If your project involves</w:t>
      </w:r>
      <w:r w:rsidR="0061388C">
        <w:rPr>
          <w:rFonts w:ascii="Georgia" w:hAnsi="Georgia" w:cs="Arial"/>
          <w:i/>
          <w:color w:val="808080"/>
          <w:sz w:val="28"/>
        </w:rPr>
        <w:t xml:space="preserve"> </w:t>
      </w:r>
      <w:r w:rsidR="00FF41AB">
        <w:rPr>
          <w:rFonts w:ascii="Georgia" w:hAnsi="Georgia" w:cs="Arial"/>
          <w:i/>
          <w:color w:val="808080"/>
          <w:sz w:val="28"/>
        </w:rPr>
        <w:t xml:space="preserve">petroleum </w:t>
      </w:r>
      <w:r w:rsidR="00FC2B1B">
        <w:rPr>
          <w:rFonts w:ascii="Georgia" w:hAnsi="Georgia" w:cs="Arial"/>
          <w:i/>
          <w:color w:val="808080"/>
          <w:sz w:val="28"/>
        </w:rPr>
        <w:t>or greenhouse gas</w:t>
      </w:r>
      <w:r w:rsidR="00C2019C">
        <w:rPr>
          <w:rFonts w:ascii="Georgia" w:hAnsi="Georgia" w:cs="Arial"/>
          <w:i/>
          <w:color w:val="808080"/>
          <w:sz w:val="28"/>
        </w:rPr>
        <w:t xml:space="preserve"> (GHG)</w:t>
      </w:r>
      <w:r w:rsidR="00FC2B1B">
        <w:rPr>
          <w:rFonts w:ascii="Georgia" w:hAnsi="Georgia" w:cs="Arial"/>
          <w:i/>
          <w:color w:val="808080"/>
          <w:sz w:val="28"/>
        </w:rPr>
        <w:t xml:space="preserve"> storage </w:t>
      </w:r>
      <w:r w:rsidR="00FF41AB">
        <w:rPr>
          <w:rFonts w:ascii="Georgia" w:hAnsi="Georgia" w:cs="Arial"/>
          <w:i/>
          <w:color w:val="808080"/>
          <w:sz w:val="28"/>
        </w:rPr>
        <w:t xml:space="preserve">activities in Commonwealth waters, you must </w:t>
      </w:r>
      <w:r w:rsidR="004F3A62">
        <w:rPr>
          <w:rFonts w:ascii="Georgia" w:hAnsi="Georgia" w:cs="Arial"/>
          <w:i/>
          <w:color w:val="808080"/>
          <w:sz w:val="28"/>
        </w:rPr>
        <w:t xml:space="preserve">obtain approvals and </w:t>
      </w:r>
      <w:r w:rsidR="00FF41AB">
        <w:rPr>
          <w:rFonts w:ascii="Georgia" w:hAnsi="Georgia" w:cs="Arial"/>
          <w:i/>
          <w:color w:val="808080"/>
          <w:sz w:val="28"/>
        </w:rPr>
        <w:t xml:space="preserve">comply with the health and safety, </w:t>
      </w:r>
      <w:r w:rsidR="003F257C">
        <w:rPr>
          <w:rFonts w:ascii="Georgia" w:hAnsi="Georgia" w:cs="Arial"/>
          <w:i/>
          <w:color w:val="808080"/>
          <w:sz w:val="28"/>
        </w:rPr>
        <w:t xml:space="preserve">well </w:t>
      </w:r>
      <w:r w:rsidR="00FF41AB">
        <w:rPr>
          <w:rFonts w:ascii="Georgia" w:hAnsi="Georgia" w:cs="Arial"/>
          <w:i/>
          <w:color w:val="808080"/>
          <w:sz w:val="28"/>
        </w:rPr>
        <w:t>integrity and environmental management requirements</w:t>
      </w:r>
      <w:r w:rsidR="004F3A62">
        <w:rPr>
          <w:rFonts w:ascii="Georgia" w:hAnsi="Georgia" w:cs="Arial"/>
          <w:i/>
          <w:color w:val="808080"/>
          <w:sz w:val="28"/>
        </w:rPr>
        <w:t xml:space="preserve"> of the Act.</w:t>
      </w:r>
    </w:p>
    <w:p w14:paraId="0D3C5EB9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D3C5EBA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3C5EBB" w14:textId="77777777" w:rsidR="00B61914" w:rsidRPr="00004ABF" w:rsidRDefault="00B61914" w:rsidP="009F347D">
      <w:pPr>
        <w:pStyle w:val="Heading2"/>
        <w:numPr>
          <w:ilvl w:val="0"/>
          <w:numId w:val="1"/>
        </w:numPr>
        <w:spacing w:before="0" w:after="120"/>
      </w:pPr>
      <w:r w:rsidRPr="00004ABF">
        <w:t xml:space="preserve">What approvals </w:t>
      </w:r>
      <w:r w:rsidR="00547551" w:rsidRPr="00004ABF">
        <w:t>do I need</w:t>
      </w:r>
      <w:r w:rsidRPr="00004ABF">
        <w:t>?</w:t>
      </w:r>
    </w:p>
    <w:p w14:paraId="0D3C5EBD" w14:textId="3CA395E6" w:rsidR="005A5127" w:rsidRDefault="005A5127" w:rsidP="009F347D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petroleum </w:t>
      </w:r>
      <w:r w:rsidR="00652582">
        <w:rPr>
          <w:rFonts w:ascii="Arial" w:hAnsi="Arial" w:cs="Arial"/>
          <w:sz w:val="20"/>
        </w:rPr>
        <w:t xml:space="preserve">(exploration and recovery) </w:t>
      </w:r>
      <w:r w:rsidR="00FC2B1B">
        <w:rPr>
          <w:rFonts w:ascii="Arial" w:hAnsi="Arial" w:cs="Arial"/>
          <w:sz w:val="20"/>
        </w:rPr>
        <w:t xml:space="preserve">and greenhouse gas </w:t>
      </w:r>
      <w:r w:rsidR="00652582">
        <w:rPr>
          <w:rFonts w:ascii="Arial" w:hAnsi="Arial" w:cs="Arial"/>
          <w:sz w:val="20"/>
        </w:rPr>
        <w:t xml:space="preserve">(injection and storage) </w:t>
      </w:r>
      <w:r>
        <w:rPr>
          <w:rFonts w:ascii="Arial" w:hAnsi="Arial" w:cs="Arial"/>
          <w:sz w:val="20"/>
        </w:rPr>
        <w:t xml:space="preserve">activities in Commonwealth waters require a Petroleum </w:t>
      </w:r>
      <w:r w:rsidR="00FC2B1B">
        <w:rPr>
          <w:rFonts w:ascii="Arial" w:hAnsi="Arial" w:cs="Arial"/>
          <w:sz w:val="20"/>
        </w:rPr>
        <w:t xml:space="preserve">or </w:t>
      </w:r>
      <w:r w:rsidR="00C2019C">
        <w:rPr>
          <w:rFonts w:ascii="Arial" w:hAnsi="Arial" w:cs="Arial"/>
          <w:sz w:val="20"/>
        </w:rPr>
        <w:t>GHG</w:t>
      </w:r>
      <w:r w:rsidR="00FC2B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Title</w:t>
      </w:r>
      <w:r w:rsidR="00C2019C">
        <w:rPr>
          <w:rFonts w:ascii="Arial" w:hAnsi="Arial" w:cs="Arial"/>
          <w:sz w:val="20"/>
        </w:rPr>
        <w:t xml:space="preserve"> (</w:t>
      </w:r>
      <w:r w:rsidR="00C2019C" w:rsidRPr="00BB5DB6">
        <w:rPr>
          <w:rFonts w:ascii="Arial" w:hAnsi="Arial" w:cs="Arial"/>
          <w:b/>
          <w:bCs/>
          <w:sz w:val="20"/>
        </w:rPr>
        <w:t>Titles</w:t>
      </w:r>
      <w:r w:rsidR="00C2019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Titleholders have rights to apply for approvals for </w:t>
      </w:r>
      <w:r w:rsidR="003F257C">
        <w:rPr>
          <w:rFonts w:ascii="Arial" w:hAnsi="Arial" w:cs="Arial"/>
          <w:sz w:val="20"/>
        </w:rPr>
        <w:t xml:space="preserve">exploration </w:t>
      </w:r>
      <w:r>
        <w:rPr>
          <w:rFonts w:ascii="Arial" w:hAnsi="Arial" w:cs="Arial"/>
          <w:sz w:val="20"/>
        </w:rPr>
        <w:t>surveys and</w:t>
      </w:r>
      <w:r w:rsidR="00652582">
        <w:rPr>
          <w:rFonts w:ascii="Arial" w:hAnsi="Arial" w:cs="Arial"/>
          <w:sz w:val="20"/>
        </w:rPr>
        <w:t>, except for short term titles,</w:t>
      </w:r>
      <w:r>
        <w:rPr>
          <w:rFonts w:ascii="Arial" w:hAnsi="Arial" w:cs="Arial"/>
          <w:sz w:val="20"/>
        </w:rPr>
        <w:t xml:space="preserve"> well </w:t>
      </w:r>
      <w:r w:rsidR="00FC2B1B">
        <w:rPr>
          <w:rFonts w:ascii="Arial" w:hAnsi="Arial" w:cs="Arial"/>
          <w:sz w:val="20"/>
        </w:rPr>
        <w:t xml:space="preserve">appraisal and </w:t>
      </w:r>
      <w:r>
        <w:rPr>
          <w:rFonts w:ascii="Arial" w:hAnsi="Arial" w:cs="Arial"/>
          <w:sz w:val="20"/>
        </w:rPr>
        <w:t>drilling operations.</w:t>
      </w:r>
    </w:p>
    <w:p w14:paraId="53DEE86D" w14:textId="77777777" w:rsidR="005F0942" w:rsidRDefault="00560BD1" w:rsidP="009F347D">
      <w:pPr>
        <w:spacing w:after="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</w:t>
      </w:r>
      <w:r w:rsidRPr="00560BD1">
        <w:rPr>
          <w:rFonts w:ascii="Arial" w:hAnsi="Arial" w:cs="Arial"/>
          <w:sz w:val="20"/>
        </w:rPr>
        <w:t xml:space="preserve"> offshore projects</w:t>
      </w:r>
      <w:r>
        <w:rPr>
          <w:rFonts w:ascii="Arial" w:hAnsi="Arial" w:cs="Arial"/>
          <w:sz w:val="20"/>
        </w:rPr>
        <w:t xml:space="preserve"> are</w:t>
      </w:r>
      <w:r w:rsidRPr="00560BD1">
        <w:rPr>
          <w:rFonts w:ascii="Arial" w:hAnsi="Arial" w:cs="Arial"/>
          <w:sz w:val="20"/>
        </w:rPr>
        <w:t xml:space="preserve"> required to submit an Offshore Project Proposal (OPP) to </w:t>
      </w:r>
      <w:r>
        <w:rPr>
          <w:rFonts w:ascii="Arial" w:hAnsi="Arial" w:cs="Arial"/>
          <w:sz w:val="20"/>
        </w:rPr>
        <w:t xml:space="preserve">National Offshore Petroleum Safety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and Environmental Management Authority (NOPSEMA) </w:t>
      </w:r>
      <w:r w:rsidRPr="00560BD1">
        <w:rPr>
          <w:rFonts w:ascii="Arial" w:hAnsi="Arial" w:cs="Arial"/>
          <w:sz w:val="20"/>
        </w:rPr>
        <w:t xml:space="preserve">for approval. </w:t>
      </w:r>
    </w:p>
    <w:p w14:paraId="4F92F79D" w14:textId="77777777" w:rsidR="005F0942" w:rsidRDefault="005F0942" w:rsidP="009F347D">
      <w:pPr>
        <w:spacing w:after="0"/>
        <w:ind w:left="68"/>
        <w:rPr>
          <w:rFonts w:ascii="Arial" w:hAnsi="Arial" w:cs="Arial"/>
          <w:sz w:val="20"/>
        </w:rPr>
      </w:pPr>
    </w:p>
    <w:p w14:paraId="4990C4F3" w14:textId="298788AC" w:rsidR="00560BD1" w:rsidRDefault="00560BD1" w:rsidP="009F347D">
      <w:pPr>
        <w:spacing w:after="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Further information on the approval process is available on the NOPSEMA website </w:t>
      </w:r>
      <w:hyperlink r:id="rId13" w:history="1">
        <w:r w:rsidRPr="00C46145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</w:p>
    <w:p w14:paraId="2E69862C" w14:textId="77777777" w:rsidR="00560BD1" w:rsidRDefault="00560BD1" w:rsidP="009F347D">
      <w:pPr>
        <w:spacing w:after="0"/>
        <w:ind w:left="68"/>
        <w:rPr>
          <w:rFonts w:ascii="Arial" w:hAnsi="Arial" w:cs="Arial"/>
          <w:sz w:val="20"/>
        </w:rPr>
      </w:pPr>
    </w:p>
    <w:p w14:paraId="0D3C5EBE" w14:textId="24ABD53B" w:rsidR="00D02E20" w:rsidRDefault="00FF41AB" w:rsidP="009F347D">
      <w:pPr>
        <w:spacing w:after="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need to submit the following documentation to </w:t>
      </w:r>
      <w:r w:rsidR="00560BD1" w:rsidRPr="00560BD1">
        <w:rPr>
          <w:rFonts w:ascii="Arial" w:hAnsi="Arial" w:cs="Arial"/>
          <w:sz w:val="20"/>
        </w:rPr>
        <w:t>NOPSEMA</w:t>
      </w:r>
      <w:r w:rsidR="00560B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assessment:</w:t>
      </w:r>
    </w:p>
    <w:p w14:paraId="0D3C5EBF" w14:textId="545DEA52" w:rsidR="00FF41AB" w:rsidRDefault="00FF41AB" w:rsidP="009F347D">
      <w:pPr>
        <w:pStyle w:val="ListParagraph"/>
        <w:numPr>
          <w:ilvl w:val="0"/>
          <w:numId w:val="6"/>
        </w:numPr>
        <w:spacing w:after="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Safety </w:t>
      </w:r>
      <w:r w:rsidR="00975E8D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ase</w:t>
      </w:r>
    </w:p>
    <w:p w14:paraId="0D3C5EC0" w14:textId="4291F1C6" w:rsidR="00FF41AB" w:rsidRDefault="00FF41AB" w:rsidP="009F347D">
      <w:pPr>
        <w:pStyle w:val="ListParagraph"/>
        <w:numPr>
          <w:ilvl w:val="0"/>
          <w:numId w:val="6"/>
        </w:numPr>
        <w:spacing w:after="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 </w:t>
      </w:r>
      <w:r w:rsidR="00975E8D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perations </w:t>
      </w:r>
      <w:r w:rsidR="00975E8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anagement </w:t>
      </w:r>
      <w:r w:rsidR="00975E8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lan</w:t>
      </w:r>
      <w:r w:rsidR="005A5127">
        <w:rPr>
          <w:rFonts w:ascii="Arial" w:hAnsi="Arial" w:cs="Arial"/>
          <w:sz w:val="20"/>
        </w:rPr>
        <w:t xml:space="preserve"> (WOMP)</w:t>
      </w:r>
    </w:p>
    <w:p w14:paraId="0D3C5EC1" w14:textId="73F50162" w:rsidR="00FF41AB" w:rsidRDefault="00FF41AB" w:rsidP="009F347D">
      <w:pPr>
        <w:pStyle w:val="ListParagraph"/>
        <w:numPr>
          <w:ilvl w:val="0"/>
          <w:numId w:val="6"/>
        </w:numPr>
        <w:spacing w:after="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Environment </w:t>
      </w:r>
      <w:r w:rsidR="00975E8D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lan</w:t>
      </w:r>
    </w:p>
    <w:p w14:paraId="6E121D8A" w14:textId="77777777" w:rsidR="003F257C" w:rsidRDefault="003F257C" w:rsidP="009F347D">
      <w:pPr>
        <w:pStyle w:val="ListParagraph"/>
        <w:numPr>
          <w:ilvl w:val="0"/>
          <w:numId w:val="6"/>
        </w:numPr>
        <w:spacing w:after="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Diving safety management system</w:t>
      </w:r>
    </w:p>
    <w:p w14:paraId="0621ADEF" w14:textId="36C85AF0" w:rsidR="009F347D" w:rsidRPr="00560BD1" w:rsidRDefault="003F257C" w:rsidP="00560BD1">
      <w:pPr>
        <w:pStyle w:val="ListParagraph"/>
        <w:numPr>
          <w:ilvl w:val="0"/>
          <w:numId w:val="6"/>
        </w:numPr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Diving project plan</w:t>
      </w:r>
    </w:p>
    <w:p w14:paraId="0D3C5EC4" w14:textId="77777777" w:rsidR="00B61914" w:rsidRPr="008716AC" w:rsidRDefault="00B61914" w:rsidP="009F347D">
      <w:pPr>
        <w:pStyle w:val="Heading2"/>
        <w:numPr>
          <w:ilvl w:val="0"/>
          <w:numId w:val="1"/>
        </w:numPr>
        <w:spacing w:before="0" w:after="120"/>
      </w:pPr>
      <w:r w:rsidRPr="008716AC">
        <w:t xml:space="preserve">Who </w:t>
      </w:r>
      <w:r w:rsidR="00547551" w:rsidRPr="008716AC">
        <w:t>provides</w:t>
      </w:r>
      <w:r w:rsidRPr="008716AC">
        <w:t xml:space="preserve"> approvals?</w:t>
      </w:r>
    </w:p>
    <w:p w14:paraId="0D3C5EC5" w14:textId="0D171163" w:rsidR="005A5127" w:rsidRPr="00C2019C" w:rsidRDefault="005A5127" w:rsidP="005F0942">
      <w:pPr>
        <w:spacing w:after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The National Offshore Petroleum Titles Administrator (</w:t>
      </w:r>
      <w:r w:rsidRPr="00BB5DB6">
        <w:rPr>
          <w:rFonts w:ascii="Arial" w:hAnsi="Arial" w:cs="Arial"/>
          <w:b/>
          <w:bCs/>
          <w:sz w:val="20"/>
        </w:rPr>
        <w:t>NOPTA</w:t>
      </w:r>
      <w:r>
        <w:rPr>
          <w:rFonts w:ascii="Arial" w:hAnsi="Arial" w:cs="Arial"/>
          <w:sz w:val="20"/>
        </w:rPr>
        <w:t xml:space="preserve">) administers </w:t>
      </w:r>
      <w:r w:rsidR="00C2019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itles</w:t>
      </w:r>
      <w:r w:rsidR="00652582">
        <w:rPr>
          <w:rFonts w:ascii="Arial" w:hAnsi="Arial" w:cs="Arial"/>
          <w:sz w:val="20"/>
        </w:rPr>
        <w:t>, including data management</w:t>
      </w:r>
      <w:r>
        <w:rPr>
          <w:rFonts w:ascii="Arial" w:hAnsi="Arial" w:cs="Arial"/>
          <w:sz w:val="20"/>
        </w:rPr>
        <w:t xml:space="preserve"> under the </w:t>
      </w:r>
      <w:r>
        <w:rPr>
          <w:rFonts w:ascii="Arial" w:hAnsi="Arial" w:cs="Arial"/>
          <w:i/>
          <w:sz w:val="20"/>
        </w:rPr>
        <w:t xml:space="preserve">Offshore Petroleum and </w:t>
      </w:r>
      <w:r>
        <w:rPr>
          <w:rFonts w:ascii="Arial" w:hAnsi="Arial" w:cs="Arial"/>
          <w:i/>
          <w:sz w:val="20"/>
        </w:rPr>
        <w:t>Greenhouse Gas Storage Act 2006.</w:t>
      </w:r>
      <w:r w:rsidR="00C2019C">
        <w:rPr>
          <w:rFonts w:ascii="Arial" w:hAnsi="Arial" w:cs="Arial"/>
          <w:iCs/>
          <w:sz w:val="20"/>
        </w:rPr>
        <w:t xml:space="preserve"> The decision maker is the relevant offshore Joint Authority or the responsible Commonwealth Minister </w:t>
      </w:r>
    </w:p>
    <w:p w14:paraId="00CBA3E4" w14:textId="77777777" w:rsidR="009F347D" w:rsidRDefault="009F347D" w:rsidP="005F0942">
      <w:pPr>
        <w:spacing w:after="120"/>
        <w:rPr>
          <w:rFonts w:ascii="Arial" w:hAnsi="Arial" w:cs="Arial"/>
          <w:sz w:val="20"/>
        </w:rPr>
      </w:pPr>
      <w:r w:rsidRPr="00BB5DB6">
        <w:rPr>
          <w:rFonts w:ascii="Arial" w:hAnsi="Arial" w:cs="Arial"/>
          <w:b/>
          <w:sz w:val="20"/>
        </w:rPr>
        <w:t>NOPSEMA</w:t>
      </w:r>
      <w:r>
        <w:rPr>
          <w:rFonts w:ascii="Arial" w:hAnsi="Arial" w:cs="Arial"/>
          <w:sz w:val="20"/>
        </w:rPr>
        <w:t xml:space="preserve"> regulates offshore petroleum and GHG storage </w:t>
      </w:r>
      <w:r w:rsidRPr="00A06277">
        <w:rPr>
          <w:rFonts w:ascii="Arial" w:hAnsi="Arial" w:cs="Arial"/>
          <w:sz w:val="20"/>
          <w:szCs w:val="20"/>
        </w:rPr>
        <w:t>operations in Commonwealth waters under the same</w:t>
      </w:r>
      <w:r>
        <w:rPr>
          <w:rFonts w:ascii="Arial" w:hAnsi="Arial" w:cs="Arial"/>
          <w:i/>
          <w:sz w:val="20"/>
        </w:rPr>
        <w:t xml:space="preserve"> </w:t>
      </w:r>
      <w:r w:rsidRPr="00A81CCD">
        <w:rPr>
          <w:rFonts w:ascii="Arial" w:hAnsi="Arial" w:cs="Arial"/>
          <w:sz w:val="20"/>
        </w:rPr>
        <w:t>Act</w:t>
      </w:r>
      <w:r>
        <w:rPr>
          <w:rFonts w:ascii="Arial" w:hAnsi="Arial" w:cs="Arial"/>
          <w:sz w:val="20"/>
        </w:rPr>
        <w:t xml:space="preserve">. </w:t>
      </w:r>
    </w:p>
    <w:p w14:paraId="2AA92F68" w14:textId="3CDB8AD3" w:rsidR="004162D2" w:rsidRPr="009F347D" w:rsidRDefault="004162D2" w:rsidP="005F0942">
      <w:pPr>
        <w:spacing w:after="120"/>
        <w:rPr>
          <w:rFonts w:ascii="Arial" w:hAnsi="Arial" w:cs="Arial"/>
          <w:sz w:val="20"/>
          <w:szCs w:val="20"/>
        </w:rPr>
      </w:pPr>
      <w:r w:rsidRPr="004162D2">
        <w:rPr>
          <w:rFonts w:ascii="Arial" w:hAnsi="Arial" w:cs="Arial"/>
          <w:sz w:val="20"/>
          <w:szCs w:val="20"/>
        </w:rPr>
        <w:t xml:space="preserve">Petroleum activities that occur within </w:t>
      </w:r>
      <w:r w:rsidR="003F257C">
        <w:rPr>
          <w:rFonts w:ascii="Arial" w:hAnsi="Arial" w:cs="Arial"/>
          <w:sz w:val="20"/>
          <w:szCs w:val="20"/>
        </w:rPr>
        <w:t>three</w:t>
      </w:r>
      <w:r w:rsidR="003F257C" w:rsidRPr="004162D2">
        <w:rPr>
          <w:rFonts w:ascii="Arial" w:hAnsi="Arial" w:cs="Arial"/>
          <w:sz w:val="20"/>
          <w:szCs w:val="20"/>
        </w:rPr>
        <w:t xml:space="preserve"> </w:t>
      </w:r>
      <w:r w:rsidRPr="004162D2">
        <w:rPr>
          <w:rFonts w:ascii="Arial" w:hAnsi="Arial" w:cs="Arial"/>
          <w:sz w:val="20"/>
          <w:szCs w:val="20"/>
        </w:rPr>
        <w:t>nautical mile limit are regulated by the relevant state authorities</w:t>
      </w:r>
      <w:r w:rsidR="00046A75">
        <w:rPr>
          <w:rFonts w:ascii="Arial" w:hAnsi="Arial" w:cs="Arial"/>
          <w:sz w:val="20"/>
          <w:szCs w:val="20"/>
        </w:rPr>
        <w:t>.</w:t>
      </w:r>
      <w:r w:rsidRPr="004162D2">
        <w:rPr>
          <w:rFonts w:ascii="Arial" w:hAnsi="Arial" w:cs="Arial"/>
          <w:sz w:val="20"/>
          <w:szCs w:val="20"/>
        </w:rPr>
        <w:t xml:space="preserve"> </w:t>
      </w:r>
    </w:p>
    <w:p w14:paraId="0D3C5ECD" w14:textId="77777777" w:rsidR="00B61914" w:rsidRPr="00004ABF" w:rsidRDefault="00B61914" w:rsidP="009F347D">
      <w:pPr>
        <w:pStyle w:val="Heading2"/>
        <w:numPr>
          <w:ilvl w:val="0"/>
          <w:numId w:val="1"/>
        </w:numPr>
        <w:spacing w:before="0" w:after="120"/>
      </w:pPr>
      <w:r w:rsidRPr="00004ABF">
        <w:t xml:space="preserve">How </w:t>
      </w:r>
      <w:r w:rsidR="00547551" w:rsidRPr="00004ABF">
        <w:t>do I get</w:t>
      </w:r>
      <w:r w:rsidRPr="00004ABF">
        <w:t xml:space="preserve"> Commonwealth approval?</w:t>
      </w:r>
    </w:p>
    <w:p w14:paraId="7EE04F3F" w14:textId="1F299C86" w:rsidR="009F347D" w:rsidRDefault="009F347D" w:rsidP="005F0942">
      <w:pPr>
        <w:spacing w:after="120"/>
        <w:rPr>
          <w:rStyle w:val="Hyperlink"/>
          <w:rFonts w:ascii="Arial" w:hAnsi="Arial" w:cs="Arial"/>
          <w:color w:val="4472C4" w:themeColor="accent5"/>
          <w:sz w:val="20"/>
        </w:rPr>
      </w:pPr>
      <w:r>
        <w:rPr>
          <w:rFonts w:ascii="Arial" w:hAnsi="Arial" w:cs="Arial"/>
          <w:sz w:val="20"/>
        </w:rPr>
        <w:t xml:space="preserve">Guidance for Titles is available on the NOPTA </w:t>
      </w:r>
      <w:hyperlink r:id="rId14" w:history="1">
        <w:r w:rsidRPr="00C46145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5F0942" w:rsidRPr="00C46145">
        <w:rPr>
          <w:rStyle w:val="Hyperlink"/>
          <w:rFonts w:ascii="Arial" w:hAnsi="Arial" w:cs="Arial"/>
          <w:color w:val="005677"/>
          <w:sz w:val="20"/>
        </w:rPr>
        <w:t xml:space="preserve"> </w:t>
      </w:r>
    </w:p>
    <w:p w14:paraId="0D3C5ED2" w14:textId="28078B78" w:rsidR="00FF41AB" w:rsidRPr="009F347D" w:rsidRDefault="005A5127" w:rsidP="005F0942">
      <w:pPr>
        <w:spacing w:after="120"/>
        <w:rPr>
          <w:rFonts w:ascii="Arial" w:hAnsi="Arial" w:cs="Arial"/>
          <w:sz w:val="20"/>
        </w:rPr>
      </w:pPr>
      <w:r w:rsidRPr="005A5127">
        <w:rPr>
          <w:rFonts w:ascii="Arial" w:hAnsi="Arial" w:cs="Arial"/>
          <w:sz w:val="20"/>
        </w:rPr>
        <w:t>Guidelines</w:t>
      </w:r>
      <w:r>
        <w:rPr>
          <w:rFonts w:ascii="Arial" w:hAnsi="Arial" w:cs="Arial"/>
          <w:sz w:val="20"/>
        </w:rPr>
        <w:t xml:space="preserve"> and applications for </w:t>
      </w:r>
      <w:hyperlink r:id="rId15" w:history="1">
        <w:r w:rsidRPr="005A5127">
          <w:rPr>
            <w:rStyle w:val="Hyperlink"/>
            <w:rFonts w:ascii="Arial" w:hAnsi="Arial" w:cs="Arial"/>
            <w:color w:val="1F4E79" w:themeColor="accent1" w:themeShade="80"/>
            <w:sz w:val="20"/>
          </w:rPr>
          <w:t>Safety Cases</w:t>
        </w:r>
      </w:hyperlink>
      <w:r w:rsidRPr="005A5127">
        <w:rPr>
          <w:rFonts w:ascii="Arial" w:hAnsi="Arial" w:cs="Arial"/>
          <w:color w:val="1F4E79" w:themeColor="accent1" w:themeShade="80"/>
          <w:sz w:val="20"/>
        </w:rPr>
        <w:t xml:space="preserve">, </w:t>
      </w:r>
      <w:hyperlink r:id="rId16" w:history="1">
        <w:r>
          <w:rPr>
            <w:rStyle w:val="Hyperlink"/>
            <w:rFonts w:ascii="Arial" w:hAnsi="Arial" w:cs="Arial"/>
            <w:color w:val="1F4E79" w:themeColor="accent1" w:themeShade="80"/>
            <w:sz w:val="20"/>
          </w:rPr>
          <w:t>WOMP</w:t>
        </w:r>
        <w:r w:rsidRPr="005A5127">
          <w:rPr>
            <w:rStyle w:val="Hyperlink"/>
            <w:rFonts w:ascii="Arial" w:hAnsi="Arial" w:cs="Arial"/>
            <w:color w:val="1F4E79" w:themeColor="accent1" w:themeShade="80"/>
            <w:sz w:val="20"/>
          </w:rPr>
          <w:t>s</w:t>
        </w:r>
      </w:hyperlink>
      <w:r w:rsidRPr="005A5127">
        <w:rPr>
          <w:rFonts w:ascii="Arial" w:hAnsi="Arial" w:cs="Arial"/>
          <w:color w:val="1F4E79" w:themeColor="accent1" w:themeShade="80"/>
          <w:sz w:val="20"/>
        </w:rPr>
        <w:t xml:space="preserve"> </w:t>
      </w:r>
      <w:r w:rsidRPr="005A5127">
        <w:rPr>
          <w:rFonts w:ascii="Arial" w:hAnsi="Arial" w:cs="Arial"/>
          <w:sz w:val="20"/>
        </w:rPr>
        <w:t>and</w:t>
      </w:r>
      <w:r w:rsidRPr="005A5127">
        <w:rPr>
          <w:rFonts w:ascii="Arial" w:hAnsi="Arial" w:cs="Arial"/>
          <w:color w:val="1F4E79" w:themeColor="accent1" w:themeShade="80"/>
          <w:sz w:val="20"/>
        </w:rPr>
        <w:t xml:space="preserve"> </w:t>
      </w:r>
      <w:hyperlink r:id="rId17" w:history="1">
        <w:r w:rsidRPr="00C46145">
          <w:rPr>
            <w:rStyle w:val="Hyperlink"/>
            <w:rFonts w:ascii="Arial" w:hAnsi="Arial" w:cs="Arial"/>
            <w:color w:val="005677"/>
            <w:sz w:val="20"/>
          </w:rPr>
          <w:t>Environment Plans</w:t>
        </w:r>
      </w:hyperlink>
      <w:r w:rsidRPr="005F0942">
        <w:rPr>
          <w:rStyle w:val="Hyperlink"/>
          <w:rFonts w:ascii="Arial" w:hAnsi="Arial" w:cs="Arial"/>
          <w:color w:val="auto"/>
          <w:sz w:val="20"/>
          <w:u w:val="none"/>
        </w:rPr>
        <w:t xml:space="preserve"> a</w:t>
      </w:r>
      <w:r w:rsidRPr="005F0942">
        <w:rPr>
          <w:rFonts w:ascii="Arial" w:hAnsi="Arial" w:cs="Arial"/>
          <w:sz w:val="20"/>
        </w:rPr>
        <w:t xml:space="preserve">re </w:t>
      </w:r>
      <w:r>
        <w:rPr>
          <w:rFonts w:ascii="Arial" w:hAnsi="Arial" w:cs="Arial"/>
          <w:sz w:val="20"/>
        </w:rPr>
        <w:t xml:space="preserve">available from the NOPSEMA </w:t>
      </w:r>
      <w:hyperlink r:id="rId18" w:history="1">
        <w:r w:rsidRPr="00CA4D86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>
        <w:rPr>
          <w:rFonts w:ascii="Arial" w:hAnsi="Arial" w:cs="Arial"/>
          <w:sz w:val="20"/>
        </w:rPr>
        <w:t>.</w:t>
      </w:r>
    </w:p>
    <w:p w14:paraId="0D3C5ED5" w14:textId="77777777" w:rsidR="00A37E11" w:rsidRPr="008716AC" w:rsidRDefault="00247600" w:rsidP="009F347D">
      <w:pPr>
        <w:pStyle w:val="Heading2"/>
        <w:numPr>
          <w:ilvl w:val="0"/>
          <w:numId w:val="1"/>
        </w:numPr>
        <w:spacing w:before="0" w:after="120"/>
      </w:pPr>
      <w:r w:rsidRPr="008716AC">
        <w:t>More i</w:t>
      </w:r>
      <w:r w:rsidR="00547551" w:rsidRPr="008716AC">
        <w:t>nformation</w:t>
      </w:r>
    </w:p>
    <w:p w14:paraId="360EF9EC" w14:textId="0E44A597" w:rsidR="004162D2" w:rsidRPr="004162D2" w:rsidRDefault="004162D2" w:rsidP="005F0942">
      <w:pPr>
        <w:pStyle w:val="Heading3"/>
        <w:spacing w:before="0" w:after="120"/>
        <w:rPr>
          <w:b w:val="0"/>
        </w:rPr>
      </w:pPr>
      <w:r w:rsidRPr="004162D2">
        <w:t>Commonwealth</w:t>
      </w:r>
    </w:p>
    <w:p w14:paraId="7CF14DBB" w14:textId="03FDA2A3" w:rsidR="004162D2" w:rsidRPr="009F347D" w:rsidRDefault="005F0942" w:rsidP="005F0942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NOPSEMA have offices in Perth and Melbourne.  Contact details are</w:t>
      </w:r>
      <w:r w:rsidRPr="00C46145">
        <w:rPr>
          <w:rFonts w:ascii="Arial" w:hAnsi="Arial" w:cs="Arial"/>
          <w:color w:val="005677"/>
          <w:sz w:val="20"/>
        </w:rPr>
        <w:t xml:space="preserve"> </w:t>
      </w:r>
      <w:hyperlink r:id="rId19" w:history="1">
        <w:r w:rsidRPr="00C46145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14:paraId="2CA5E408" w14:textId="56CCCBB4" w:rsidR="004162D2" w:rsidRPr="008716AC" w:rsidRDefault="004162D2" w:rsidP="005F0942">
      <w:pPr>
        <w:pStyle w:val="Heading3"/>
        <w:spacing w:before="0" w:after="120"/>
      </w:pPr>
      <w:r w:rsidRPr="008716AC">
        <w:t>Major Projects Facilitation Agency</w:t>
      </w:r>
    </w:p>
    <w:p w14:paraId="7329CB17" w14:textId="3371F47D" w:rsidR="004162D2" w:rsidRPr="004162D2" w:rsidRDefault="004162D2" w:rsidP="005F0942">
      <w:pPr>
        <w:spacing w:after="120"/>
        <w:rPr>
          <w:rFonts w:ascii="Arial" w:hAnsi="Arial" w:cs="Arial"/>
          <w:sz w:val="20"/>
        </w:rPr>
      </w:pPr>
      <w:r w:rsidRPr="004162D2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20" w:history="1">
        <w:r w:rsidRPr="00CA4D86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CA4D86">
        <w:rPr>
          <w:rFonts w:ascii="Arial" w:hAnsi="Arial" w:cs="Arial"/>
          <w:color w:val="005677"/>
          <w:sz w:val="20"/>
        </w:rPr>
        <w:t xml:space="preserve"> </w:t>
      </w:r>
      <w:r w:rsidRPr="004162D2">
        <w:rPr>
          <w:rFonts w:ascii="Arial" w:hAnsi="Arial" w:cs="Arial"/>
          <w:sz w:val="20"/>
        </w:rPr>
        <w:t>or contact us:</w:t>
      </w:r>
    </w:p>
    <w:p w14:paraId="25935FC5" w14:textId="6342C443" w:rsidR="004162D2" w:rsidRPr="00D92F02" w:rsidRDefault="009F347D" w:rsidP="005F0942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Email:</w:t>
      </w:r>
      <w:r w:rsidRPr="00C46145">
        <w:rPr>
          <w:rFonts w:ascii="Arial" w:hAnsi="Arial" w:cs="Arial"/>
          <w:color w:val="005677"/>
          <w:sz w:val="20"/>
        </w:rPr>
        <w:t xml:space="preserve"> </w:t>
      </w:r>
      <w:r w:rsidR="00C46145" w:rsidRPr="00C46145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sectPr w:rsidR="004162D2" w:rsidRPr="00D92F02" w:rsidSect="005F0942">
      <w:type w:val="continuous"/>
      <w:pgSz w:w="11906" w:h="16838"/>
      <w:pgMar w:top="720" w:right="991" w:bottom="720" w:left="993" w:header="708" w:footer="708" w:gutter="0"/>
      <w:cols w:num="2" w:space="29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80C1" w16cex:dateUtc="2021-04-27T02:23:00Z"/>
  <w16cex:commentExtensible w16cex:durableId="24310B74" w16cex:dateUtc="2021-04-25T23:50:00Z"/>
  <w16cex:commentExtensible w16cex:durableId="2432815A" w16cex:dateUtc="2021-04-27T02:26:00Z"/>
  <w16cex:commentExtensible w16cex:durableId="24310C93" w16cex:dateUtc="2021-04-25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51D53" w16cid:durableId="243280C1"/>
  <w16cid:commentId w16cid:paraId="4EA5FD08" w16cid:durableId="24310B74"/>
  <w16cid:commentId w16cid:paraId="3EB79E8F" w16cid:durableId="2432815A"/>
  <w16cid:commentId w16cid:paraId="6E11179C" w16cid:durableId="24310C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B937" w14:textId="77777777" w:rsidR="00FB72EE" w:rsidRDefault="00FB72EE" w:rsidP="00B61914">
      <w:pPr>
        <w:spacing w:after="0" w:line="240" w:lineRule="auto"/>
      </w:pPr>
      <w:r>
        <w:separator/>
      </w:r>
    </w:p>
  </w:endnote>
  <w:endnote w:type="continuationSeparator" w:id="0">
    <w:p w14:paraId="7E08C5C6" w14:textId="77777777" w:rsidR="00FB72EE" w:rsidRDefault="00FB72EE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41C4" w14:textId="77777777" w:rsidR="00004ABF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2F7EA2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F349EE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2F7EA2"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</w:p>
  <w:p w14:paraId="0D3C5EE4" w14:textId="5761B2E6" w:rsidR="00A37E11" w:rsidRPr="00A37E11" w:rsidRDefault="002F7EA2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>
      <w:rPr>
        <w:rFonts w:ascii="Arial" w:eastAsia="Arial" w:hAnsi="Arial" w:cs="Times New Roman"/>
        <w:spacing w:val="-2"/>
        <w:sz w:val="16"/>
        <w:szCs w:val="20"/>
      </w:rPr>
      <w:t>T</w:t>
    </w:r>
    <w:r w:rsidR="00F349EE">
      <w:rPr>
        <w:rFonts w:ascii="Arial" w:eastAsia="Arial" w:hAnsi="Arial" w:cs="Times New Roman"/>
        <w:spacing w:val="-2"/>
        <w:sz w:val="16"/>
        <w:szCs w:val="20"/>
      </w:rPr>
      <w:t>he MPF</w:t>
    </w:r>
    <w:r w:rsidR="00A37E11"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0D3C5EE5" w14:textId="6D3C9241" w:rsidR="00A37E11" w:rsidRPr="00A37E11" w:rsidRDefault="00C46145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FC3558" w:rsidRPr="00C46145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FC3558" w:rsidRPr="00C46145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FC3558" w:rsidRPr="00C46145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FC3558" w:rsidRPr="00C46145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FC3558" w:rsidRPr="00C46145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Pr="00C46145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2F7EA2">
      <w:rPr>
        <w:rFonts w:ascii="Arial" w:eastAsia="Arial" w:hAnsi="Arial" w:cs="Times New Roman"/>
        <w:spacing w:val="-2"/>
        <w:sz w:val="16"/>
        <w:szCs w:val="20"/>
      </w:rPr>
      <w:tab/>
    </w:r>
    <w:r w:rsidR="002F7EA2">
      <w:rPr>
        <w:rFonts w:ascii="Arial" w:eastAsia="Arial" w:hAnsi="Arial" w:cs="Times New Roman"/>
        <w:spacing w:val="-2"/>
        <w:sz w:val="16"/>
        <w:szCs w:val="20"/>
      </w:rPr>
      <w:tab/>
    </w:r>
    <w:r w:rsidR="002F7EA2">
      <w:rPr>
        <w:rFonts w:ascii="Arial" w:eastAsia="Arial" w:hAnsi="Arial" w:cs="Times New Roman"/>
        <w:spacing w:val="-2"/>
        <w:sz w:val="16"/>
        <w:szCs w:val="20"/>
      </w:rPr>
      <w:tab/>
    </w:r>
    <w:r w:rsidR="002F7EA2">
      <w:rPr>
        <w:rFonts w:ascii="Arial" w:eastAsia="Arial" w:hAnsi="Arial" w:cs="Times New Roman"/>
        <w:spacing w:val="-2"/>
        <w:sz w:val="16"/>
        <w:szCs w:val="20"/>
      </w:rPr>
      <w:tab/>
    </w:r>
    <w:r w:rsidR="00AC1AE1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272B" w14:textId="77777777" w:rsidR="00FB72EE" w:rsidRDefault="00FB72EE" w:rsidP="00B61914">
      <w:pPr>
        <w:spacing w:after="0" w:line="240" w:lineRule="auto"/>
      </w:pPr>
      <w:r>
        <w:separator/>
      </w:r>
    </w:p>
  </w:footnote>
  <w:footnote w:type="continuationSeparator" w:id="0">
    <w:p w14:paraId="44B9E017" w14:textId="77777777" w:rsidR="00FB72EE" w:rsidRDefault="00FB72EE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C5EE3" w14:textId="28F5EF67" w:rsidR="00B61914" w:rsidRDefault="00F349EE">
    <w:pPr>
      <w:pStyle w:val="Header"/>
    </w:pPr>
    <w:r>
      <w:rPr>
        <w:noProof/>
        <w:lang w:eastAsia="en-AU"/>
      </w:rPr>
      <w:drawing>
        <wp:inline distT="0" distB="0" distL="0" distR="0" wp14:anchorId="777ADE1E" wp14:editId="02A6B97C">
          <wp:extent cx="6443345" cy="3242945"/>
          <wp:effectExtent l="0" t="0" r="0" b="0"/>
          <wp:docPr id="1" name="Picture 1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56"/>
    <w:multiLevelType w:val="hybridMultilevel"/>
    <w:tmpl w:val="7D5EE0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AE482B"/>
    <w:multiLevelType w:val="hybridMultilevel"/>
    <w:tmpl w:val="FF2CEB1E"/>
    <w:lvl w:ilvl="0" w:tplc="A134F2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A1A"/>
    <w:multiLevelType w:val="hybridMultilevel"/>
    <w:tmpl w:val="7E2003D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995045"/>
    <w:multiLevelType w:val="hybridMultilevel"/>
    <w:tmpl w:val="34F891D8"/>
    <w:lvl w:ilvl="0" w:tplc="0C09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4EF7A87"/>
    <w:multiLevelType w:val="hybridMultilevel"/>
    <w:tmpl w:val="E4286F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3B11C3"/>
    <w:multiLevelType w:val="hybridMultilevel"/>
    <w:tmpl w:val="309C46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04ABF"/>
    <w:rsid w:val="00023585"/>
    <w:rsid w:val="00046A75"/>
    <w:rsid w:val="0005483D"/>
    <w:rsid w:val="00157D30"/>
    <w:rsid w:val="0017177E"/>
    <w:rsid w:val="00247600"/>
    <w:rsid w:val="00286262"/>
    <w:rsid w:val="002F7EA2"/>
    <w:rsid w:val="00393168"/>
    <w:rsid w:val="003F257C"/>
    <w:rsid w:val="003F484E"/>
    <w:rsid w:val="004162D2"/>
    <w:rsid w:val="004C3D15"/>
    <w:rsid w:val="004F3A62"/>
    <w:rsid w:val="00547551"/>
    <w:rsid w:val="00560BD1"/>
    <w:rsid w:val="005A5127"/>
    <w:rsid w:val="005F0942"/>
    <w:rsid w:val="0061388C"/>
    <w:rsid w:val="00652582"/>
    <w:rsid w:val="00696D17"/>
    <w:rsid w:val="007622C7"/>
    <w:rsid w:val="00780F7E"/>
    <w:rsid w:val="00796DD3"/>
    <w:rsid w:val="007C2A24"/>
    <w:rsid w:val="008057B7"/>
    <w:rsid w:val="008716AC"/>
    <w:rsid w:val="00915A19"/>
    <w:rsid w:val="00975E8D"/>
    <w:rsid w:val="009F347D"/>
    <w:rsid w:val="00A06277"/>
    <w:rsid w:val="00A37E11"/>
    <w:rsid w:val="00A81CCD"/>
    <w:rsid w:val="00AB562C"/>
    <w:rsid w:val="00AC1AE1"/>
    <w:rsid w:val="00B304FE"/>
    <w:rsid w:val="00B42111"/>
    <w:rsid w:val="00B61914"/>
    <w:rsid w:val="00BB5DB6"/>
    <w:rsid w:val="00C2019C"/>
    <w:rsid w:val="00C46145"/>
    <w:rsid w:val="00C53412"/>
    <w:rsid w:val="00C72C5E"/>
    <w:rsid w:val="00C80037"/>
    <w:rsid w:val="00C81DF9"/>
    <w:rsid w:val="00C84B5C"/>
    <w:rsid w:val="00CA4D86"/>
    <w:rsid w:val="00CD1554"/>
    <w:rsid w:val="00D02E20"/>
    <w:rsid w:val="00D362A3"/>
    <w:rsid w:val="00D7662D"/>
    <w:rsid w:val="00D92F02"/>
    <w:rsid w:val="00DF3BD3"/>
    <w:rsid w:val="00E25747"/>
    <w:rsid w:val="00F05CA6"/>
    <w:rsid w:val="00F349EE"/>
    <w:rsid w:val="00F41C8E"/>
    <w:rsid w:val="00F87E1D"/>
    <w:rsid w:val="00FB72EE"/>
    <w:rsid w:val="00FC2B1B"/>
    <w:rsid w:val="00FC3558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C5EB5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ABF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BF"/>
    <w:pPr>
      <w:keepNext/>
      <w:keepLines/>
      <w:spacing w:before="40" w:after="4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6A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2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4ABF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ABF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6AC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psema.gov.au/offshore-industry/environmental-management/assessment-process" TargetMode="External"/><Relationship Id="rId18" Type="http://schemas.openxmlformats.org/officeDocument/2006/relationships/hyperlink" Target="https://www.nopsema.gov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nopsema.gov.au/offshore-industry/environmental-management/assessment-pro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psema.gov.au/well-integrity/well-integrity-resources/" TargetMode="External"/><Relationship Id="rId20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nopsema.gov.au/safety/safety-case/safety-case-guidance-not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opsema.gov.au/contact-us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pta.gov.au/application-processes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A3PSR54DD4M5-1894031199-79</_dlc_DocId>
    <_dlc_DocIdUrl xmlns="a36bd50b-1532-4c22-b385-5c082c960938">
      <Url>https://dochub/div/officeofnorthernaustralia/businessfunctions/majorprojects/programmemgmnt/_layouts/15/DocIdRedir.aspx?ID=A3PSR54DD4M5-1894031199-79</Url>
      <Description>A3PSR54DD4M5-1894031199-79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8F3CE1-06BE-40A0-A59A-BE1731846152}"/>
</file>

<file path=customXml/itemProps2.xml><?xml version="1.0" encoding="utf-8"?>
<ds:datastoreItem xmlns:ds="http://schemas.openxmlformats.org/officeDocument/2006/customXml" ds:itemID="{0C0DBE76-DDD3-4F8B-9FDB-FDAAF9E5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47113-A2FB-4801-89A3-7F7C98358398}">
  <ds:schemaRefs>
    <ds:schemaRef ds:uri="http://purl.org/dc/dcmitype/"/>
    <ds:schemaRef ds:uri="a36bd50b-1532-4c22-b385-5c082c9609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e950eb60-a35e-4b14-88a9-41f408f744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6F1575-9104-4791-A6ED-6C453250C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PETROLEUM AND GREENHOUSE GAS STORAGE ACT 2006</vt:lpstr>
    </vt:vector>
  </TitlesOfParts>
  <Company>Department of Industry, Innovation and Science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PETROLEUM AND GREENHOUSE GAS STORAGE ACT 2006</dc:title>
  <dc:subject/>
  <dc:creator>England, Teneille</dc:creator>
  <cp:keywords/>
  <dc:description/>
  <cp:lastModifiedBy>Pusceddu, Anna</cp:lastModifiedBy>
  <cp:revision>9</cp:revision>
  <dcterms:created xsi:type="dcterms:W3CDTF">2021-04-25T23:50:00Z</dcterms:created>
  <dcterms:modified xsi:type="dcterms:W3CDTF">2021-09-06T06:12:00Z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7c492548-0584-4b9b-b29e-5c065d494cf5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RegionCountry">
    <vt:lpwstr/>
  </property>
  <property fmtid="{D5CDD505-2E9C-101B-9397-08002B2CF9AE}" pid="10" name="DocHub_GroupsOtherEntities">
    <vt:lpwstr/>
  </property>
  <property fmtid="{D5CDD505-2E9C-101B-9397-08002B2CF9AE}" pid="11" name="DocHub_GovernmentEntities">
    <vt:lpwstr/>
  </property>
  <property fmtid="{D5CDD505-2E9C-101B-9397-08002B2CF9AE}" pid="12" name="DocHub_OrganisationEntities">
    <vt:lpwstr/>
  </property>
  <property fmtid="{D5CDD505-2E9C-101B-9397-08002B2CF9AE}" pid="13" name="DocHub_PDMSNumber">
    <vt:lpwstr/>
  </property>
  <property fmtid="{D5CDD505-2E9C-101B-9397-08002B2CF9AE}" pid="14" name="DocHub_WorkTopic">
    <vt:lpwstr/>
  </property>
  <property fmtid="{D5CDD505-2E9C-101B-9397-08002B2CF9AE}" pid="15" name="IconOverlay">
    <vt:lpwstr/>
  </property>
  <property fmtid="{D5CDD505-2E9C-101B-9397-08002B2CF9AE}" pid="16" name="DocHub_EnergyMineralResources">
    <vt:lpwstr/>
  </property>
  <property fmtid="{D5CDD505-2E9C-101B-9397-08002B2CF9AE}" pid="17" name="DocHub_State">
    <vt:lpwstr/>
  </property>
</Properties>
</file>