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5C2AE" w14:textId="77777777" w:rsidR="000A1C04" w:rsidRDefault="000A1C04" w:rsidP="00647D19">
      <w:pPr>
        <w:pStyle w:val="Title"/>
        <w:jc w:val="center"/>
        <w:rPr>
          <w:sz w:val="52"/>
        </w:rPr>
      </w:pPr>
      <w:bookmarkStart w:id="0" w:name="_GoBack"/>
      <w:bookmarkEnd w:id="0"/>
    </w:p>
    <w:p w14:paraId="6D38E094" w14:textId="22EA7B35" w:rsidR="00B729E2" w:rsidRPr="00500289" w:rsidRDefault="00C05DB9" w:rsidP="00647D19">
      <w:pPr>
        <w:pStyle w:val="Title"/>
        <w:jc w:val="center"/>
        <w:rPr>
          <w:sz w:val="52"/>
        </w:rPr>
      </w:pPr>
      <w:r w:rsidRPr="00500289">
        <w:rPr>
          <w:sz w:val="52"/>
        </w:rPr>
        <w:t>R&amp;D Tax Incentive</w:t>
      </w:r>
      <w:r w:rsidR="00B729E2" w:rsidRPr="00500289">
        <w:rPr>
          <w:sz w:val="52"/>
        </w:rPr>
        <w:br/>
        <w:t>State Reference Group</w:t>
      </w:r>
    </w:p>
    <w:p w14:paraId="0F58CD4A" w14:textId="32718CD1" w:rsidR="00D06FDA" w:rsidRDefault="00534C17" w:rsidP="00EC3DAC">
      <w:pPr>
        <w:pStyle w:val="Heading1"/>
        <w:jc w:val="center"/>
      </w:pPr>
      <w:r>
        <w:t>March 2022</w:t>
      </w:r>
    </w:p>
    <w:p w14:paraId="5CC843E2" w14:textId="4A0A9422" w:rsidR="00061D6A" w:rsidRPr="00253CF0" w:rsidRDefault="00534C17" w:rsidP="00B729E2">
      <w:pPr>
        <w:pStyle w:val="TableHeading"/>
        <w:jc w:val="center"/>
        <w:rPr>
          <w:sz w:val="22"/>
          <w:szCs w:val="22"/>
        </w:rPr>
      </w:pPr>
      <w:r>
        <w:rPr>
          <w:sz w:val="22"/>
          <w:szCs w:val="22"/>
        </w:rPr>
        <w:t>AGENDA</w:t>
      </w:r>
    </w:p>
    <w:tbl>
      <w:tblPr>
        <w:tblStyle w:val="BEPTable1"/>
        <w:tblW w:w="5000" w:type="pct"/>
        <w:tblLook w:val="0620" w:firstRow="1" w:lastRow="0" w:firstColumn="0" w:lastColumn="0" w:noHBand="1" w:noVBand="1"/>
      </w:tblPr>
      <w:tblGrid>
        <w:gridCol w:w="1419"/>
        <w:gridCol w:w="4677"/>
        <w:gridCol w:w="2930"/>
      </w:tblGrid>
      <w:tr w:rsidR="00534C17" w:rsidRPr="001263D1" w14:paraId="5A017B7F" w14:textId="77777777" w:rsidTr="00534C17">
        <w:trPr>
          <w:cnfStyle w:val="100000000000" w:firstRow="1" w:lastRow="0" w:firstColumn="0" w:lastColumn="0" w:oddVBand="0" w:evenVBand="0" w:oddHBand="0" w:evenHBand="0" w:firstRowFirstColumn="0" w:firstRowLastColumn="0" w:lastRowFirstColumn="0" w:lastRowLastColumn="0"/>
          <w:trHeight w:val="113"/>
        </w:trPr>
        <w:tc>
          <w:tcPr>
            <w:tcW w:w="786" w:type="pct"/>
            <w:shd w:val="clear" w:color="auto" w:fill="DFE7F6"/>
          </w:tcPr>
          <w:p w14:paraId="61A486A4" w14:textId="77777777" w:rsidR="00534C17" w:rsidRPr="004B7A71" w:rsidRDefault="00534C17" w:rsidP="00A71DAB">
            <w:pPr>
              <w:rPr>
                <w:rFonts w:ascii="Calibri" w:eastAsia="SimSun" w:hAnsi="Calibri" w:cs="Times New Roman"/>
                <w:color w:val="000000"/>
              </w:rPr>
            </w:pPr>
            <w:bookmarkStart w:id="1" w:name="_Toc47017057"/>
            <w:bookmarkStart w:id="2" w:name="_Toc47360263"/>
            <w:bookmarkStart w:id="3" w:name="_Toc47366591"/>
            <w:bookmarkStart w:id="4" w:name="_Toc47367221"/>
            <w:bookmarkStart w:id="5" w:name="_Toc47387305"/>
            <w:bookmarkStart w:id="6" w:name="_Toc47446270"/>
            <w:bookmarkStart w:id="7" w:name="_Toc54776172"/>
            <w:bookmarkStart w:id="8" w:name="_Toc54966595"/>
            <w:bookmarkStart w:id="9" w:name="_Toc55305698"/>
            <w:r w:rsidRPr="004B7A71">
              <w:rPr>
                <w:rFonts w:ascii="Calibri" w:eastAsia="SimSun" w:hAnsi="Calibri" w:cs="Times New Roman"/>
                <w:color w:val="000000"/>
              </w:rPr>
              <w:t>Time</w:t>
            </w:r>
          </w:p>
        </w:tc>
        <w:tc>
          <w:tcPr>
            <w:tcW w:w="2591" w:type="pct"/>
            <w:shd w:val="clear" w:color="auto" w:fill="DFE7F6"/>
          </w:tcPr>
          <w:p w14:paraId="7FCE3EA1" w14:textId="77777777" w:rsidR="00534C17" w:rsidRPr="004B7A71" w:rsidRDefault="00534C17" w:rsidP="00A71DAB">
            <w:pPr>
              <w:rPr>
                <w:rFonts w:ascii="Calibri" w:eastAsia="SimSun" w:hAnsi="Calibri" w:cs="Times New Roman"/>
                <w:color w:val="000000"/>
              </w:rPr>
            </w:pPr>
            <w:r w:rsidRPr="004B7A71">
              <w:rPr>
                <w:rFonts w:ascii="Calibri" w:eastAsia="SimSun" w:hAnsi="Calibri" w:cs="Times New Roman"/>
                <w:color w:val="000000"/>
              </w:rPr>
              <w:t>Item</w:t>
            </w:r>
          </w:p>
        </w:tc>
        <w:tc>
          <w:tcPr>
            <w:tcW w:w="1623" w:type="pct"/>
            <w:shd w:val="clear" w:color="auto" w:fill="DFE7F6"/>
          </w:tcPr>
          <w:p w14:paraId="2645ACC3" w14:textId="77777777" w:rsidR="00534C17" w:rsidRPr="004B7A71" w:rsidRDefault="00534C17" w:rsidP="00A71DAB">
            <w:pPr>
              <w:rPr>
                <w:rFonts w:ascii="Calibri" w:eastAsia="SimSun" w:hAnsi="Calibri" w:cs="Times New Roman"/>
                <w:color w:val="000000"/>
              </w:rPr>
            </w:pPr>
            <w:r w:rsidRPr="004B7A71">
              <w:rPr>
                <w:rFonts w:ascii="Calibri" w:eastAsia="SimSun" w:hAnsi="Calibri" w:cs="Times New Roman"/>
                <w:color w:val="000000"/>
              </w:rPr>
              <w:t>Speaker</w:t>
            </w:r>
          </w:p>
        </w:tc>
      </w:tr>
      <w:tr w:rsidR="00534C17" w:rsidRPr="001263D1" w14:paraId="5C6BA75D" w14:textId="77777777" w:rsidTr="00534C17">
        <w:trPr>
          <w:trHeight w:val="113"/>
        </w:trPr>
        <w:tc>
          <w:tcPr>
            <w:tcW w:w="786" w:type="pct"/>
          </w:tcPr>
          <w:p w14:paraId="05EB9BFE" w14:textId="77777777" w:rsidR="00534C17" w:rsidRPr="004B7A71" w:rsidRDefault="00534C17" w:rsidP="00A71DAB">
            <w:pPr>
              <w:rPr>
                <w:rFonts w:ascii="Calibri" w:eastAsia="SimSun" w:hAnsi="Calibri" w:cs="Times New Roman"/>
                <w:color w:val="000000"/>
              </w:rPr>
            </w:pPr>
            <w:r w:rsidRPr="004B7A71">
              <w:rPr>
                <w:rFonts w:ascii="Calibri" w:eastAsia="Times New Roman" w:hAnsi="Calibri" w:cs="Calibri"/>
                <w:lang w:eastAsia="en-AU"/>
              </w:rPr>
              <w:t>5</w:t>
            </w:r>
            <w:r w:rsidRPr="004B7A71">
              <w:rPr>
                <w:rFonts w:ascii="Calibri" w:eastAsia="Times New Roman" w:hAnsi="Calibri" w:cs="Calibri"/>
                <w:color w:val="000000"/>
                <w:lang w:eastAsia="en-AU"/>
              </w:rPr>
              <w:t xml:space="preserve"> mins</w:t>
            </w:r>
          </w:p>
        </w:tc>
        <w:tc>
          <w:tcPr>
            <w:tcW w:w="2591" w:type="pct"/>
          </w:tcPr>
          <w:p w14:paraId="3ACC257B" w14:textId="77777777" w:rsidR="00534C17" w:rsidRPr="004B7A71" w:rsidRDefault="00534C17" w:rsidP="00037FA3">
            <w:pPr>
              <w:numPr>
                <w:ilvl w:val="0"/>
                <w:numId w:val="6"/>
              </w:numPr>
              <w:spacing w:before="60" w:after="60" w:line="25" w:lineRule="atLeast"/>
              <w:rPr>
                <w:rFonts w:ascii="Calibri" w:eastAsia="Times New Roman" w:hAnsi="Calibri" w:cs="Calibri"/>
                <w:color w:val="000000"/>
                <w:lang w:eastAsia="en-AU"/>
              </w:rPr>
            </w:pPr>
            <w:r w:rsidRPr="004B7A71">
              <w:rPr>
                <w:rFonts w:ascii="Calibri" w:eastAsia="Times New Roman" w:hAnsi="Calibri" w:cs="Calibri"/>
                <w:b/>
                <w:color w:val="000000"/>
                <w:lang w:eastAsia="en-AU"/>
              </w:rPr>
              <w:t>Welcome</w:t>
            </w:r>
          </w:p>
          <w:p w14:paraId="44C6C117" w14:textId="77777777" w:rsidR="00534C17" w:rsidRPr="004B7A71" w:rsidRDefault="00534C17" w:rsidP="00037FA3">
            <w:pPr>
              <w:numPr>
                <w:ilvl w:val="1"/>
                <w:numId w:val="6"/>
              </w:numPr>
              <w:spacing w:before="60" w:after="60" w:line="25" w:lineRule="atLeast"/>
              <w:rPr>
                <w:rFonts w:ascii="Calibri" w:eastAsia="Times New Roman" w:hAnsi="Calibri" w:cs="Calibri"/>
                <w:color w:val="000000"/>
                <w:lang w:eastAsia="en-AU"/>
              </w:rPr>
            </w:pPr>
            <w:r w:rsidRPr="004B7A71">
              <w:rPr>
                <w:rFonts w:ascii="Calibri" w:eastAsia="Times New Roman" w:hAnsi="Calibri" w:cs="Calibri"/>
                <w:color w:val="000000"/>
                <w:lang w:eastAsia="en-AU"/>
              </w:rPr>
              <w:t>Roll-call for WebEx dial ins</w:t>
            </w:r>
          </w:p>
          <w:p w14:paraId="17EA6E4B" w14:textId="77777777" w:rsidR="00534C17" w:rsidRPr="004B7A71" w:rsidRDefault="00534C17" w:rsidP="00037FA3">
            <w:pPr>
              <w:numPr>
                <w:ilvl w:val="1"/>
                <w:numId w:val="6"/>
              </w:numPr>
              <w:spacing w:before="60" w:after="60" w:line="25" w:lineRule="atLeast"/>
              <w:rPr>
                <w:rFonts w:ascii="Calibri" w:eastAsia="Times New Roman" w:hAnsi="Calibri" w:cs="Calibri"/>
                <w:color w:val="000000"/>
                <w:lang w:eastAsia="en-AU"/>
              </w:rPr>
            </w:pPr>
            <w:r w:rsidRPr="004B7A71">
              <w:rPr>
                <w:rFonts w:ascii="Calibri" w:eastAsia="Times New Roman" w:hAnsi="Calibri" w:cs="Calibri"/>
                <w:color w:val="000000"/>
                <w:lang w:eastAsia="en-AU"/>
              </w:rPr>
              <w:t>House keeping</w:t>
            </w:r>
          </w:p>
          <w:p w14:paraId="1795EC0B" w14:textId="77777777" w:rsidR="00534C17" w:rsidRPr="004B7A71" w:rsidRDefault="00534C17" w:rsidP="00037FA3">
            <w:pPr>
              <w:numPr>
                <w:ilvl w:val="1"/>
                <w:numId w:val="6"/>
              </w:numPr>
              <w:spacing w:before="60" w:after="60" w:line="25" w:lineRule="atLeast"/>
              <w:rPr>
                <w:rFonts w:ascii="Calibri" w:eastAsia="Times New Roman" w:hAnsi="Calibri" w:cs="Calibri"/>
                <w:color w:val="000000"/>
                <w:lang w:eastAsia="en-AU"/>
              </w:rPr>
            </w:pPr>
            <w:r w:rsidRPr="004B7A71">
              <w:rPr>
                <w:rFonts w:ascii="Calibri" w:eastAsia="Times New Roman" w:hAnsi="Calibri" w:cs="Calibri"/>
                <w:color w:val="000000"/>
                <w:lang w:eastAsia="en-AU"/>
              </w:rPr>
              <w:t>Acknowledgement of country</w:t>
            </w:r>
          </w:p>
        </w:tc>
        <w:tc>
          <w:tcPr>
            <w:tcW w:w="1623" w:type="pct"/>
          </w:tcPr>
          <w:p w14:paraId="6D8D2FB2" w14:textId="77777777" w:rsidR="00534C17" w:rsidRPr="004B7A71" w:rsidRDefault="00534C17" w:rsidP="00A71DAB">
            <w:pPr>
              <w:rPr>
                <w:rFonts w:ascii="Calibri" w:eastAsia="SimSun" w:hAnsi="Calibri" w:cs="Times New Roman"/>
                <w:color w:val="000000"/>
              </w:rPr>
            </w:pPr>
            <w:r w:rsidRPr="004B7A71">
              <w:rPr>
                <w:rFonts w:ascii="Calibri" w:eastAsia="Times New Roman" w:hAnsi="Calibri" w:cs="Calibri"/>
                <w:lang w:eastAsia="en-AU"/>
              </w:rPr>
              <w:t>Facilitator</w:t>
            </w:r>
          </w:p>
        </w:tc>
      </w:tr>
      <w:tr w:rsidR="00534C17" w:rsidRPr="001263D1" w14:paraId="6F363726" w14:textId="77777777" w:rsidTr="00534C17">
        <w:trPr>
          <w:trHeight w:val="113"/>
        </w:trPr>
        <w:tc>
          <w:tcPr>
            <w:tcW w:w="786" w:type="pct"/>
          </w:tcPr>
          <w:p w14:paraId="2900839D" w14:textId="77777777" w:rsidR="00534C17" w:rsidRPr="004B7A71" w:rsidRDefault="00534C17" w:rsidP="00A71DAB">
            <w:pPr>
              <w:rPr>
                <w:rFonts w:ascii="Calibri" w:eastAsia="SimSun" w:hAnsi="Calibri" w:cs="Times New Roman"/>
                <w:color w:val="000000"/>
              </w:rPr>
            </w:pPr>
            <w:r w:rsidRPr="004B7A71">
              <w:rPr>
                <w:rFonts w:ascii="Calibri" w:eastAsia="Times New Roman" w:hAnsi="Calibri" w:cs="Calibri"/>
                <w:color w:val="000000"/>
                <w:lang w:eastAsia="en-AU"/>
              </w:rPr>
              <w:t>30 mins</w:t>
            </w:r>
          </w:p>
        </w:tc>
        <w:tc>
          <w:tcPr>
            <w:tcW w:w="2591" w:type="pct"/>
          </w:tcPr>
          <w:p w14:paraId="13C5D5EF" w14:textId="77777777" w:rsidR="00534C17" w:rsidRPr="004B7A71" w:rsidRDefault="00534C17" w:rsidP="00037FA3">
            <w:pPr>
              <w:numPr>
                <w:ilvl w:val="0"/>
                <w:numId w:val="6"/>
              </w:numPr>
              <w:spacing w:before="60" w:after="0" w:line="25" w:lineRule="atLeast"/>
              <w:rPr>
                <w:rFonts w:ascii="Calibri" w:eastAsia="Times New Roman" w:hAnsi="Calibri" w:cs="Calibri"/>
                <w:b/>
                <w:color w:val="000000"/>
                <w:lang w:eastAsia="en-AU"/>
              </w:rPr>
            </w:pPr>
            <w:r w:rsidRPr="004B7A71">
              <w:rPr>
                <w:rFonts w:ascii="Calibri" w:eastAsia="Times New Roman" w:hAnsi="Calibri" w:cs="Calibri"/>
                <w:b/>
                <w:lang w:eastAsia="en-AU"/>
              </w:rPr>
              <w:t xml:space="preserve">ATO </w:t>
            </w:r>
            <w:r w:rsidRPr="004B7A71">
              <w:rPr>
                <w:rFonts w:ascii="Calibri" w:eastAsia="Times New Roman" w:hAnsi="Calibri" w:cs="Calibri"/>
                <w:b/>
                <w:color w:val="000000"/>
                <w:lang w:eastAsia="en-AU"/>
              </w:rPr>
              <w:t>Update</w:t>
            </w:r>
          </w:p>
          <w:p w14:paraId="27ACF8A2" w14:textId="77777777" w:rsidR="00534C17" w:rsidRPr="004B7A71" w:rsidRDefault="00534C17" w:rsidP="00037FA3">
            <w:pPr>
              <w:numPr>
                <w:ilvl w:val="1"/>
                <w:numId w:val="6"/>
              </w:numPr>
              <w:spacing w:before="60" w:after="60" w:line="25" w:lineRule="atLeast"/>
              <w:rPr>
                <w:rFonts w:ascii="Calibri" w:eastAsia="Times New Roman" w:hAnsi="Calibri" w:cs="Calibri"/>
                <w:b/>
                <w:color w:val="000000"/>
                <w:lang w:eastAsia="en-AU"/>
              </w:rPr>
            </w:pPr>
            <w:r w:rsidRPr="004B7A71">
              <w:rPr>
                <w:rFonts w:ascii="Calibri" w:hAnsi="Calibri" w:cs="Calibri"/>
                <w:lang w:eastAsia="en-AU"/>
              </w:rPr>
              <w:t>Update</w:t>
            </w:r>
          </w:p>
          <w:p w14:paraId="31CB2B48" w14:textId="77777777" w:rsidR="00534C17" w:rsidRPr="004B7A71" w:rsidRDefault="00534C17" w:rsidP="00037FA3">
            <w:pPr>
              <w:numPr>
                <w:ilvl w:val="1"/>
                <w:numId w:val="6"/>
              </w:numPr>
              <w:spacing w:before="60" w:after="60" w:line="25" w:lineRule="atLeast"/>
              <w:rPr>
                <w:rFonts w:ascii="Calibri" w:eastAsia="Times New Roman" w:hAnsi="Calibri" w:cs="Calibri"/>
                <w:b/>
                <w:color w:val="000000"/>
                <w:lang w:eastAsia="en-AU"/>
              </w:rPr>
            </w:pPr>
            <w:r w:rsidRPr="004B7A71">
              <w:rPr>
                <w:rFonts w:ascii="Calibri" w:hAnsi="Calibri" w:cs="Calibri"/>
                <w:lang w:eastAsia="en-AU"/>
              </w:rPr>
              <w:t>Questions</w:t>
            </w:r>
          </w:p>
        </w:tc>
        <w:tc>
          <w:tcPr>
            <w:tcW w:w="1623" w:type="pct"/>
          </w:tcPr>
          <w:p w14:paraId="5A48271F" w14:textId="77777777" w:rsidR="00534C17" w:rsidRPr="004B7A71" w:rsidRDefault="00534C17" w:rsidP="00A71DAB">
            <w:pPr>
              <w:rPr>
                <w:rFonts w:ascii="Calibri" w:eastAsia="Times New Roman" w:hAnsi="Calibri" w:cs="Calibri"/>
                <w:lang w:eastAsia="en-AU"/>
              </w:rPr>
            </w:pPr>
          </w:p>
          <w:p w14:paraId="1D11B26C" w14:textId="77777777" w:rsidR="00534C17" w:rsidRPr="004B7A71" w:rsidRDefault="00534C17" w:rsidP="00A71DAB">
            <w:pPr>
              <w:rPr>
                <w:rFonts w:ascii="Calibri" w:eastAsia="Times New Roman" w:hAnsi="Calibri" w:cs="Calibri"/>
                <w:lang w:eastAsia="en-AU"/>
              </w:rPr>
            </w:pPr>
            <w:r w:rsidRPr="004B7A71">
              <w:rPr>
                <w:rFonts w:ascii="Calibri" w:eastAsia="Times New Roman" w:hAnsi="Calibri" w:cs="Calibri"/>
                <w:lang w:eastAsia="en-AU"/>
              </w:rPr>
              <w:t>Brett Challans</w:t>
            </w:r>
          </w:p>
          <w:p w14:paraId="4AF68AC3" w14:textId="77777777" w:rsidR="00534C17" w:rsidRPr="004B7A71" w:rsidRDefault="00534C17" w:rsidP="00A71DAB">
            <w:pPr>
              <w:rPr>
                <w:rFonts w:ascii="Calibri" w:eastAsia="SimSun" w:hAnsi="Calibri" w:cs="Times New Roman"/>
                <w:color w:val="000000"/>
              </w:rPr>
            </w:pPr>
            <w:r w:rsidRPr="004B7A71">
              <w:rPr>
                <w:rFonts w:ascii="Calibri" w:eastAsia="Times New Roman" w:hAnsi="Calibri" w:cs="Calibri"/>
                <w:lang w:eastAsia="en-AU"/>
              </w:rPr>
              <w:t>Facilitator</w:t>
            </w:r>
          </w:p>
        </w:tc>
      </w:tr>
      <w:tr w:rsidR="00534C17" w:rsidRPr="001263D1" w14:paraId="2651B306" w14:textId="77777777" w:rsidTr="00534C17">
        <w:trPr>
          <w:trHeight w:val="113"/>
        </w:trPr>
        <w:tc>
          <w:tcPr>
            <w:tcW w:w="786" w:type="pct"/>
          </w:tcPr>
          <w:p w14:paraId="0DEEA49E" w14:textId="77777777" w:rsidR="00534C17" w:rsidRPr="004B7A71" w:rsidRDefault="00534C17" w:rsidP="00A71DAB">
            <w:pPr>
              <w:rPr>
                <w:rFonts w:ascii="Calibri" w:eastAsia="Times New Roman" w:hAnsi="Calibri" w:cs="Calibri"/>
                <w:color w:val="000000"/>
                <w:lang w:eastAsia="en-AU"/>
              </w:rPr>
            </w:pPr>
            <w:r w:rsidRPr="004B7A71">
              <w:rPr>
                <w:rFonts w:ascii="Calibri" w:eastAsia="Times New Roman" w:hAnsi="Calibri" w:cs="Calibri"/>
                <w:color w:val="000000"/>
                <w:lang w:eastAsia="en-AU"/>
              </w:rPr>
              <w:t>45 mins</w:t>
            </w:r>
          </w:p>
        </w:tc>
        <w:tc>
          <w:tcPr>
            <w:tcW w:w="2591" w:type="pct"/>
          </w:tcPr>
          <w:p w14:paraId="172E05F6" w14:textId="77777777" w:rsidR="00534C17" w:rsidRPr="004B7A71" w:rsidRDefault="00534C17" w:rsidP="00037FA3">
            <w:pPr>
              <w:numPr>
                <w:ilvl w:val="0"/>
                <w:numId w:val="6"/>
              </w:numPr>
              <w:spacing w:before="60" w:after="0" w:line="25" w:lineRule="atLeast"/>
              <w:rPr>
                <w:rFonts w:ascii="Calibri" w:eastAsia="Times New Roman" w:hAnsi="Calibri" w:cs="Calibri"/>
                <w:b/>
                <w:color w:val="C00000"/>
                <w:lang w:eastAsia="en-AU"/>
              </w:rPr>
            </w:pPr>
            <w:r w:rsidRPr="004B7A71">
              <w:rPr>
                <w:rFonts w:ascii="Calibri" w:eastAsia="Times New Roman" w:hAnsi="Calibri" w:cs="Calibri"/>
                <w:b/>
                <w:lang w:eastAsia="en-AU"/>
              </w:rPr>
              <w:t>AusIndustry Update</w:t>
            </w:r>
          </w:p>
          <w:p w14:paraId="5BA7698F" w14:textId="77777777" w:rsidR="00534C17" w:rsidRPr="004B7A71" w:rsidRDefault="00534C17" w:rsidP="00037FA3">
            <w:pPr>
              <w:numPr>
                <w:ilvl w:val="1"/>
                <w:numId w:val="6"/>
              </w:numPr>
              <w:spacing w:before="60" w:after="60" w:line="25" w:lineRule="atLeast"/>
              <w:rPr>
                <w:rFonts w:ascii="Calibri" w:eastAsia="Times New Roman" w:hAnsi="Calibri" w:cs="Calibri"/>
                <w:color w:val="auto"/>
                <w:lang w:eastAsia="en-AU"/>
              </w:rPr>
            </w:pPr>
            <w:r w:rsidRPr="004B7A71">
              <w:rPr>
                <w:rFonts w:ascii="Calibri" w:eastAsia="Times New Roman" w:hAnsi="Calibri" w:cs="Calibri"/>
                <w:color w:val="auto"/>
                <w:lang w:eastAsia="en-AU"/>
              </w:rPr>
              <w:t>R&amp;DTI customer portal</w:t>
            </w:r>
          </w:p>
          <w:p w14:paraId="40897FD2" w14:textId="77777777" w:rsidR="00534C17" w:rsidRPr="004B7A71" w:rsidRDefault="00534C17" w:rsidP="00037FA3">
            <w:pPr>
              <w:numPr>
                <w:ilvl w:val="1"/>
                <w:numId w:val="6"/>
              </w:numPr>
              <w:spacing w:before="60" w:after="60" w:line="25" w:lineRule="atLeast"/>
              <w:rPr>
                <w:rFonts w:ascii="Calibri" w:eastAsia="Times New Roman" w:hAnsi="Calibri" w:cs="Calibri"/>
                <w:color w:val="auto"/>
                <w:lang w:eastAsia="en-AU"/>
              </w:rPr>
            </w:pPr>
            <w:r w:rsidRPr="004B7A71">
              <w:rPr>
                <w:rFonts w:ascii="Calibri" w:eastAsia="Times New Roman" w:hAnsi="Calibri" w:cs="Calibri"/>
                <w:color w:val="auto"/>
                <w:lang w:eastAsia="en-AU"/>
              </w:rPr>
              <w:t>Registration</w:t>
            </w:r>
            <w:r>
              <w:rPr>
                <w:rFonts w:ascii="Calibri" w:eastAsia="Times New Roman" w:hAnsi="Calibri" w:cs="Calibri"/>
                <w:color w:val="auto"/>
                <w:lang w:eastAsia="en-AU"/>
              </w:rPr>
              <w:t>s update</w:t>
            </w:r>
          </w:p>
          <w:p w14:paraId="23A29B3F" w14:textId="77777777" w:rsidR="00E1716E" w:rsidRDefault="00E1716E" w:rsidP="00037FA3">
            <w:pPr>
              <w:numPr>
                <w:ilvl w:val="1"/>
                <w:numId w:val="6"/>
              </w:numPr>
              <w:spacing w:before="60" w:after="60" w:line="25" w:lineRule="atLeast"/>
              <w:rPr>
                <w:rFonts w:ascii="Calibri" w:eastAsia="Times New Roman" w:hAnsi="Calibri" w:cs="Calibri"/>
                <w:color w:val="auto"/>
                <w:lang w:eastAsia="en-AU"/>
              </w:rPr>
            </w:pPr>
            <w:r>
              <w:rPr>
                <w:rFonts w:ascii="Calibri" w:eastAsia="Times New Roman" w:hAnsi="Calibri" w:cs="Calibri"/>
                <w:color w:val="auto"/>
                <w:lang w:eastAsia="en-AU"/>
              </w:rPr>
              <w:t>Legislative update</w:t>
            </w:r>
          </w:p>
          <w:p w14:paraId="75F97234" w14:textId="609A7EE8" w:rsidR="00534C17" w:rsidRPr="004B7A71" w:rsidRDefault="00534C17" w:rsidP="00037FA3">
            <w:pPr>
              <w:numPr>
                <w:ilvl w:val="1"/>
                <w:numId w:val="6"/>
              </w:numPr>
              <w:spacing w:before="60" w:after="60" w:line="25" w:lineRule="atLeast"/>
              <w:rPr>
                <w:rFonts w:ascii="Calibri" w:eastAsia="Times New Roman" w:hAnsi="Calibri" w:cs="Calibri"/>
                <w:color w:val="auto"/>
                <w:lang w:eastAsia="en-AU"/>
              </w:rPr>
            </w:pPr>
            <w:r w:rsidRPr="004B7A71">
              <w:rPr>
                <w:rFonts w:ascii="Calibri" w:eastAsia="Times New Roman" w:hAnsi="Calibri" w:cs="Calibri"/>
                <w:color w:val="auto"/>
                <w:lang w:eastAsia="en-AU"/>
              </w:rPr>
              <w:t>Research Service Providers</w:t>
            </w:r>
          </w:p>
          <w:p w14:paraId="7D9F29B3" w14:textId="77777777" w:rsidR="00534C17" w:rsidRPr="004B7A71" w:rsidRDefault="00534C17" w:rsidP="00037FA3">
            <w:pPr>
              <w:numPr>
                <w:ilvl w:val="1"/>
                <w:numId w:val="6"/>
              </w:numPr>
              <w:spacing w:before="60" w:after="60" w:line="25" w:lineRule="atLeast"/>
              <w:rPr>
                <w:rFonts w:ascii="Calibri" w:eastAsia="Times New Roman" w:hAnsi="Calibri" w:cs="Calibri"/>
                <w:color w:val="auto"/>
                <w:lang w:eastAsia="en-AU"/>
              </w:rPr>
            </w:pPr>
            <w:r w:rsidRPr="004B7A71">
              <w:rPr>
                <w:rFonts w:ascii="Calibri" w:eastAsia="Times New Roman" w:hAnsi="Calibri" w:cs="Calibri"/>
                <w:color w:val="auto"/>
                <w:lang w:eastAsia="en-AU"/>
              </w:rPr>
              <w:t>Program guidance &amp; Determinations</w:t>
            </w:r>
          </w:p>
          <w:p w14:paraId="5E0FBF1F" w14:textId="77777777" w:rsidR="00534C17" w:rsidRPr="004B7A71" w:rsidRDefault="00534C17" w:rsidP="00037FA3">
            <w:pPr>
              <w:numPr>
                <w:ilvl w:val="1"/>
                <w:numId w:val="6"/>
              </w:numPr>
              <w:spacing w:before="60" w:after="60" w:line="25" w:lineRule="atLeast"/>
              <w:rPr>
                <w:rFonts w:ascii="Calibri" w:eastAsia="Times New Roman" w:hAnsi="Calibri" w:cs="Calibri"/>
                <w:b/>
                <w:color w:val="C00000"/>
                <w:lang w:eastAsia="en-AU"/>
              </w:rPr>
            </w:pPr>
            <w:r w:rsidRPr="004B7A71">
              <w:rPr>
                <w:rFonts w:ascii="Calibri" w:eastAsia="Times New Roman" w:hAnsi="Calibri" w:cs="Calibri"/>
                <w:color w:val="auto"/>
                <w:lang w:eastAsia="en-AU"/>
              </w:rPr>
              <w:t>Large business review</w:t>
            </w:r>
            <w:r>
              <w:rPr>
                <w:rFonts w:ascii="Calibri" w:eastAsia="Times New Roman" w:hAnsi="Calibri" w:cs="Calibri"/>
                <w:color w:val="auto"/>
                <w:lang w:eastAsia="en-AU"/>
              </w:rPr>
              <w:t>s</w:t>
            </w:r>
          </w:p>
          <w:p w14:paraId="1D23F549" w14:textId="77777777" w:rsidR="00534C17" w:rsidRPr="004B7A71" w:rsidRDefault="00534C17" w:rsidP="00037FA3">
            <w:pPr>
              <w:numPr>
                <w:ilvl w:val="1"/>
                <w:numId w:val="6"/>
              </w:numPr>
              <w:spacing w:before="60" w:after="60" w:line="25" w:lineRule="atLeast"/>
              <w:rPr>
                <w:rFonts w:ascii="Calibri" w:eastAsia="Times New Roman" w:hAnsi="Calibri" w:cs="Calibri"/>
                <w:b/>
                <w:color w:val="C00000"/>
                <w:lang w:eastAsia="en-AU"/>
              </w:rPr>
            </w:pPr>
            <w:r w:rsidRPr="004B7A71">
              <w:rPr>
                <w:rFonts w:ascii="Calibri" w:eastAsia="Times New Roman" w:hAnsi="Calibri" w:cs="Calibri"/>
                <w:color w:val="auto"/>
                <w:lang w:eastAsia="en-AU"/>
              </w:rPr>
              <w:t>Questions</w:t>
            </w:r>
          </w:p>
        </w:tc>
        <w:tc>
          <w:tcPr>
            <w:tcW w:w="1623" w:type="pct"/>
          </w:tcPr>
          <w:p w14:paraId="2EBE294D" w14:textId="70559A0F" w:rsidR="00534C17" w:rsidRPr="004B7A71" w:rsidRDefault="00075891" w:rsidP="00A71DAB">
            <w:pPr>
              <w:rPr>
                <w:rFonts w:ascii="Calibri" w:eastAsia="Times New Roman" w:hAnsi="Calibri" w:cs="Calibri"/>
                <w:lang w:eastAsia="en-AU"/>
              </w:rPr>
            </w:pPr>
            <w:r>
              <w:rPr>
                <w:rFonts w:ascii="Calibri" w:eastAsia="Times New Roman" w:hAnsi="Calibri" w:cs="Calibri"/>
                <w:lang w:eastAsia="en-AU"/>
              </w:rPr>
              <w:br/>
            </w:r>
            <w:r w:rsidR="00534C17" w:rsidRPr="004B7A71">
              <w:rPr>
                <w:rFonts w:ascii="Calibri" w:eastAsia="Times New Roman" w:hAnsi="Calibri" w:cs="Calibri"/>
                <w:lang w:eastAsia="en-AU"/>
              </w:rPr>
              <w:t>Keelie Williams</w:t>
            </w:r>
          </w:p>
          <w:p w14:paraId="50432A04" w14:textId="77777777" w:rsidR="00534C17" w:rsidRPr="004B7A71" w:rsidRDefault="00534C17" w:rsidP="00A71DAB">
            <w:pPr>
              <w:rPr>
                <w:rFonts w:ascii="Calibri" w:eastAsia="Times New Roman" w:hAnsi="Calibri" w:cs="Calibri"/>
                <w:lang w:eastAsia="en-AU"/>
              </w:rPr>
            </w:pPr>
            <w:r w:rsidRPr="004B7A71">
              <w:rPr>
                <w:rFonts w:ascii="Calibri" w:eastAsia="Times New Roman" w:hAnsi="Calibri" w:cs="Calibri"/>
                <w:lang w:eastAsia="en-AU"/>
              </w:rPr>
              <w:t>Kelley Wiggins and Tom Gilbert</w:t>
            </w:r>
          </w:p>
          <w:p w14:paraId="3BAFBA63" w14:textId="16720906" w:rsidR="00534C17" w:rsidRPr="004B7A71" w:rsidRDefault="00534C17" w:rsidP="00A71DAB">
            <w:pPr>
              <w:rPr>
                <w:rFonts w:ascii="Calibri" w:hAnsi="Calibri" w:cs="Times New Roman"/>
              </w:rPr>
            </w:pPr>
            <w:r w:rsidRPr="004B7A71">
              <w:rPr>
                <w:rFonts w:ascii="Calibri" w:hAnsi="Calibri" w:cs="Times New Roman"/>
              </w:rPr>
              <w:t>Kelley Wiggins</w:t>
            </w:r>
            <w:r w:rsidR="007B766B">
              <w:rPr>
                <w:rFonts w:ascii="Calibri" w:hAnsi="Calibri" w:cs="Times New Roman"/>
              </w:rPr>
              <w:t xml:space="preserve"> / Lyndall Milward-Bason</w:t>
            </w:r>
          </w:p>
          <w:p w14:paraId="5F8E471F" w14:textId="77777777" w:rsidR="00534C17" w:rsidRPr="004B7A71" w:rsidRDefault="00534C17" w:rsidP="00A71DAB">
            <w:pPr>
              <w:rPr>
                <w:rFonts w:ascii="Calibri" w:hAnsi="Calibri" w:cs="Times New Roman"/>
              </w:rPr>
            </w:pPr>
            <w:r w:rsidRPr="004B7A71">
              <w:rPr>
                <w:rFonts w:ascii="Calibri" w:hAnsi="Calibri" w:cs="Times New Roman"/>
              </w:rPr>
              <w:t>Chris Enders</w:t>
            </w:r>
          </w:p>
          <w:p w14:paraId="704B6453" w14:textId="77777777" w:rsidR="00534C17" w:rsidRPr="004B7A71" w:rsidRDefault="00534C17" w:rsidP="00A71DAB">
            <w:pPr>
              <w:rPr>
                <w:rFonts w:ascii="Calibri" w:hAnsi="Calibri" w:cs="Times New Roman"/>
              </w:rPr>
            </w:pPr>
            <w:r w:rsidRPr="004B7A71">
              <w:rPr>
                <w:rFonts w:ascii="Calibri" w:hAnsi="Calibri" w:cs="Times New Roman"/>
              </w:rPr>
              <w:t>Nadia Rosenman</w:t>
            </w:r>
          </w:p>
          <w:p w14:paraId="1754ABDB" w14:textId="77777777" w:rsidR="00534C17" w:rsidRPr="004B7A71" w:rsidRDefault="00534C17" w:rsidP="00A71DAB">
            <w:pPr>
              <w:rPr>
                <w:rFonts w:ascii="Calibri" w:eastAsia="SimSun" w:hAnsi="Calibri" w:cs="Times New Roman"/>
                <w:color w:val="000000"/>
              </w:rPr>
            </w:pPr>
            <w:r w:rsidRPr="004B7A71">
              <w:rPr>
                <w:rFonts w:ascii="Calibri" w:eastAsia="SimSun" w:hAnsi="Calibri" w:cs="Times New Roman"/>
                <w:color w:val="000000"/>
              </w:rPr>
              <w:t>Facilitator</w:t>
            </w:r>
          </w:p>
        </w:tc>
      </w:tr>
      <w:tr w:rsidR="00534C17" w:rsidRPr="001263D1" w14:paraId="2269B2A0" w14:textId="77777777" w:rsidTr="00534C17">
        <w:trPr>
          <w:trHeight w:val="113"/>
        </w:trPr>
        <w:tc>
          <w:tcPr>
            <w:tcW w:w="786" w:type="pct"/>
          </w:tcPr>
          <w:p w14:paraId="274DA514" w14:textId="302A880B" w:rsidR="00534C17" w:rsidRPr="004B7A71" w:rsidRDefault="00534C17" w:rsidP="00A71DAB">
            <w:pPr>
              <w:rPr>
                <w:rFonts w:ascii="Calibri" w:eastAsia="SimSun" w:hAnsi="Calibri" w:cs="Times New Roman"/>
                <w:color w:val="000000"/>
              </w:rPr>
            </w:pPr>
            <w:r w:rsidRPr="004B7A71">
              <w:rPr>
                <w:rFonts w:ascii="Calibri" w:eastAsia="Times New Roman" w:hAnsi="Calibri" w:cs="Calibri"/>
                <w:color w:val="000000"/>
                <w:lang w:eastAsia="en-AU"/>
              </w:rPr>
              <w:t>10 mins</w:t>
            </w:r>
          </w:p>
        </w:tc>
        <w:tc>
          <w:tcPr>
            <w:tcW w:w="2591" w:type="pct"/>
          </w:tcPr>
          <w:p w14:paraId="68C2B712" w14:textId="77777777" w:rsidR="00534C17" w:rsidRPr="004B7A71" w:rsidRDefault="00534C17" w:rsidP="00037FA3">
            <w:pPr>
              <w:numPr>
                <w:ilvl w:val="0"/>
                <w:numId w:val="6"/>
              </w:numPr>
              <w:spacing w:before="60" w:after="60" w:line="25" w:lineRule="atLeast"/>
              <w:contextualSpacing/>
              <w:rPr>
                <w:rFonts w:ascii="Calibri" w:eastAsia="Times New Roman" w:hAnsi="Calibri" w:cs="Calibri"/>
                <w:b/>
                <w:color w:val="000000"/>
                <w:lang w:eastAsia="en-AU"/>
              </w:rPr>
            </w:pPr>
            <w:r w:rsidRPr="004B7A71">
              <w:rPr>
                <w:rFonts w:ascii="Calibri" w:eastAsia="Times New Roman" w:hAnsi="Calibri" w:cs="Calibri"/>
                <w:b/>
                <w:lang w:eastAsia="en-AU"/>
              </w:rPr>
              <w:t>Roundtable Update</w:t>
            </w:r>
          </w:p>
          <w:p w14:paraId="10F62055" w14:textId="77777777" w:rsidR="00534C17" w:rsidRPr="004B7A71" w:rsidRDefault="00534C17" w:rsidP="00A71DAB">
            <w:pPr>
              <w:spacing w:before="60" w:after="60" w:line="25" w:lineRule="atLeast"/>
              <w:rPr>
                <w:rFonts w:ascii="Calibri" w:eastAsia="Times New Roman" w:hAnsi="Calibri" w:cs="Calibri"/>
                <w:color w:val="000000"/>
                <w:lang w:eastAsia="en-AU"/>
              </w:rPr>
            </w:pPr>
          </w:p>
        </w:tc>
        <w:tc>
          <w:tcPr>
            <w:tcW w:w="1623" w:type="pct"/>
          </w:tcPr>
          <w:p w14:paraId="4D431AD8" w14:textId="77777777" w:rsidR="00534C17" w:rsidRPr="004B7A71" w:rsidRDefault="00534C17" w:rsidP="00A71DAB">
            <w:pPr>
              <w:rPr>
                <w:rFonts w:ascii="Calibri" w:eastAsia="SimSun" w:hAnsi="Calibri" w:cs="Times New Roman"/>
                <w:color w:val="000000"/>
              </w:rPr>
            </w:pPr>
            <w:r w:rsidRPr="004B7A71">
              <w:rPr>
                <w:rFonts w:ascii="Calibri" w:hAnsi="Calibri" w:cs="Times New Roman"/>
              </w:rPr>
              <w:t>Chris Enders</w:t>
            </w:r>
          </w:p>
        </w:tc>
      </w:tr>
      <w:tr w:rsidR="00534C17" w:rsidRPr="001263D1" w14:paraId="753B8426" w14:textId="77777777" w:rsidTr="00534C17">
        <w:trPr>
          <w:trHeight w:val="113"/>
        </w:trPr>
        <w:tc>
          <w:tcPr>
            <w:tcW w:w="786" w:type="pct"/>
          </w:tcPr>
          <w:p w14:paraId="4BF67C04" w14:textId="77777777" w:rsidR="00534C17" w:rsidRPr="004B7A71" w:rsidRDefault="00534C17" w:rsidP="00A71DAB">
            <w:pPr>
              <w:rPr>
                <w:rFonts w:ascii="Calibri" w:eastAsia="SimSun" w:hAnsi="Calibri" w:cs="Times New Roman"/>
                <w:color w:val="000000"/>
              </w:rPr>
            </w:pPr>
            <w:r w:rsidRPr="004B7A71">
              <w:rPr>
                <w:rFonts w:ascii="Calibri" w:eastAsia="SimSun" w:hAnsi="Calibri" w:cs="Times New Roman"/>
                <w:color w:val="000000"/>
              </w:rPr>
              <w:t>5 mins</w:t>
            </w:r>
          </w:p>
        </w:tc>
        <w:tc>
          <w:tcPr>
            <w:tcW w:w="2591" w:type="pct"/>
          </w:tcPr>
          <w:p w14:paraId="4A0081C4" w14:textId="77777777" w:rsidR="00534C17" w:rsidRPr="004B7A71" w:rsidRDefault="00534C17" w:rsidP="00037FA3">
            <w:pPr>
              <w:pStyle w:val="ListParagraph"/>
              <w:numPr>
                <w:ilvl w:val="0"/>
                <w:numId w:val="6"/>
              </w:numPr>
              <w:spacing w:after="200"/>
              <w:rPr>
                <w:rFonts w:ascii="Calibri" w:eastAsia="SimSun" w:hAnsi="Calibri" w:cs="Times New Roman"/>
                <w:color w:val="000000"/>
              </w:rPr>
            </w:pPr>
            <w:r w:rsidRPr="004B7A71">
              <w:rPr>
                <w:rFonts w:ascii="Calibri" w:eastAsia="Times New Roman" w:hAnsi="Calibri" w:cs="Calibri"/>
                <w:b/>
                <w:color w:val="000000"/>
                <w:lang w:eastAsia="en-AU"/>
              </w:rPr>
              <w:t>Meeting Close</w:t>
            </w:r>
          </w:p>
        </w:tc>
        <w:tc>
          <w:tcPr>
            <w:tcW w:w="1623" w:type="pct"/>
          </w:tcPr>
          <w:p w14:paraId="107F0DA7" w14:textId="77777777" w:rsidR="00534C17" w:rsidRPr="004B7A71" w:rsidRDefault="00534C17" w:rsidP="00A71DAB">
            <w:pPr>
              <w:rPr>
                <w:rFonts w:ascii="Calibri" w:eastAsia="SimSun" w:hAnsi="Calibri" w:cs="Times New Roman"/>
                <w:color w:val="000000"/>
              </w:rPr>
            </w:pPr>
          </w:p>
        </w:tc>
      </w:tr>
    </w:tbl>
    <w:p w14:paraId="62134272" w14:textId="03B56CC0" w:rsidR="00C453DA" w:rsidRDefault="00C453DA" w:rsidP="009B68AA"/>
    <w:p w14:paraId="6219BFF0" w14:textId="77777777" w:rsidR="00C453DA" w:rsidRDefault="00C453DA">
      <w:r>
        <w:br w:type="page"/>
      </w:r>
    </w:p>
    <w:bookmarkEnd w:id="1"/>
    <w:bookmarkEnd w:id="2"/>
    <w:bookmarkEnd w:id="3"/>
    <w:bookmarkEnd w:id="4"/>
    <w:bookmarkEnd w:id="5"/>
    <w:bookmarkEnd w:id="6"/>
    <w:bookmarkEnd w:id="7"/>
    <w:bookmarkEnd w:id="8"/>
    <w:bookmarkEnd w:id="9"/>
    <w:p w14:paraId="7C045C5B" w14:textId="35C93D82" w:rsidR="009B68AA" w:rsidRPr="009B68AA" w:rsidRDefault="009B68AA" w:rsidP="00037FA3">
      <w:pPr>
        <w:pStyle w:val="Heading2"/>
        <w:numPr>
          <w:ilvl w:val="0"/>
          <w:numId w:val="5"/>
        </w:numPr>
      </w:pPr>
      <w:r w:rsidRPr="009B68AA">
        <w:lastRenderedPageBreak/>
        <w:t>Welcome</w:t>
      </w:r>
    </w:p>
    <w:p w14:paraId="4E5816E7" w14:textId="6253B643" w:rsidR="009B68AA" w:rsidRPr="001017D9" w:rsidRDefault="009B68AA" w:rsidP="00885575">
      <w:pPr>
        <w:ind w:left="360"/>
        <w:rPr>
          <w:rFonts w:cstheme="minorHAnsi"/>
        </w:rPr>
      </w:pPr>
      <w:r w:rsidRPr="001017D9">
        <w:rPr>
          <w:rFonts w:cstheme="minorHAnsi"/>
        </w:rPr>
        <w:t xml:space="preserve">Each meeting </w:t>
      </w:r>
      <w:r w:rsidR="00C453DA" w:rsidRPr="001017D9">
        <w:rPr>
          <w:rFonts w:cstheme="minorHAnsi"/>
        </w:rPr>
        <w:t>commenced with</w:t>
      </w:r>
      <w:r w:rsidRPr="001017D9">
        <w:rPr>
          <w:rFonts w:cstheme="minorHAnsi"/>
        </w:rPr>
        <w:t xml:space="preserve"> an Acknowledgement of Country, welcome to attendees and roll call</w:t>
      </w:r>
      <w:r w:rsidR="00631E68" w:rsidRPr="001017D9">
        <w:rPr>
          <w:rFonts w:cstheme="minorHAnsi"/>
        </w:rPr>
        <w:t>.</w:t>
      </w:r>
    </w:p>
    <w:p w14:paraId="40F05919" w14:textId="6660A6BC" w:rsidR="003C1750" w:rsidRDefault="001017D9" w:rsidP="001017D9">
      <w:pPr>
        <w:ind w:left="360"/>
        <w:rPr>
          <w:rFonts w:cstheme="minorHAnsi"/>
        </w:rPr>
      </w:pPr>
      <w:r w:rsidRPr="001017D9">
        <w:rPr>
          <w:rFonts w:cstheme="minorHAnsi"/>
        </w:rPr>
        <w:t xml:space="preserve">The facilitator advised </w:t>
      </w:r>
      <w:r w:rsidR="00075891">
        <w:rPr>
          <w:rFonts w:cstheme="minorHAnsi"/>
        </w:rPr>
        <w:t>o</w:t>
      </w:r>
      <w:r w:rsidR="00965F6D">
        <w:rPr>
          <w:rFonts w:cstheme="minorHAnsi"/>
        </w:rPr>
        <w:t>n</w:t>
      </w:r>
      <w:r w:rsidR="00075891">
        <w:rPr>
          <w:rFonts w:cstheme="minorHAnsi"/>
        </w:rPr>
        <w:t xml:space="preserve"> some changes </w:t>
      </w:r>
      <w:r w:rsidR="00FF2DC4">
        <w:rPr>
          <w:rFonts w:cstheme="minorHAnsi"/>
        </w:rPr>
        <w:t xml:space="preserve">being trialled </w:t>
      </w:r>
      <w:r w:rsidR="00075891">
        <w:rPr>
          <w:rFonts w:cstheme="minorHAnsi"/>
        </w:rPr>
        <w:t xml:space="preserve">to </w:t>
      </w:r>
      <w:r w:rsidR="003C1750">
        <w:rPr>
          <w:rFonts w:cstheme="minorHAnsi"/>
        </w:rPr>
        <w:t>improve the value of the S</w:t>
      </w:r>
      <w:r w:rsidR="00B5470D">
        <w:rPr>
          <w:rFonts w:cstheme="minorHAnsi"/>
        </w:rPr>
        <w:t>tate Reference Groups (SRGs)</w:t>
      </w:r>
      <w:r w:rsidR="003C1750">
        <w:rPr>
          <w:rFonts w:cstheme="minorHAnsi"/>
        </w:rPr>
        <w:t xml:space="preserve"> for participants:</w:t>
      </w:r>
    </w:p>
    <w:p w14:paraId="646CEF72" w14:textId="773558CC" w:rsidR="003C1750" w:rsidRDefault="00965F6D" w:rsidP="003C1750">
      <w:pPr>
        <w:pStyle w:val="ListParagraph"/>
        <w:numPr>
          <w:ilvl w:val="0"/>
          <w:numId w:val="15"/>
        </w:numPr>
        <w:rPr>
          <w:rFonts w:cstheme="minorHAnsi"/>
        </w:rPr>
      </w:pPr>
      <w:r>
        <w:rPr>
          <w:rFonts w:cstheme="minorHAnsi"/>
        </w:rPr>
        <w:t>The</w:t>
      </w:r>
      <w:r w:rsidR="001017D9" w:rsidRPr="003C1750">
        <w:rPr>
          <w:rFonts w:cstheme="minorHAnsi"/>
        </w:rPr>
        <w:t xml:space="preserve"> R&amp;D Tax Incentive (R&amp;DTI) program update was pr</w:t>
      </w:r>
      <w:r w:rsidR="003C1750">
        <w:rPr>
          <w:rFonts w:cstheme="minorHAnsi"/>
        </w:rPr>
        <w:t>ovided</w:t>
      </w:r>
      <w:r>
        <w:rPr>
          <w:rFonts w:cstheme="minorHAnsi"/>
        </w:rPr>
        <w:t xml:space="preserve"> in writing</w:t>
      </w:r>
      <w:r w:rsidR="003C1750">
        <w:rPr>
          <w:rFonts w:cstheme="minorHAnsi"/>
        </w:rPr>
        <w:t xml:space="preserve"> ahead of the meeting </w:t>
      </w:r>
      <w:r w:rsidR="001017D9" w:rsidRPr="003C1750">
        <w:rPr>
          <w:rFonts w:cstheme="minorHAnsi"/>
        </w:rPr>
        <w:t xml:space="preserve">(refer to appendix A) </w:t>
      </w:r>
      <w:r w:rsidR="003C1750">
        <w:rPr>
          <w:rFonts w:cstheme="minorHAnsi"/>
        </w:rPr>
        <w:t>to r</w:t>
      </w:r>
      <w:r w:rsidR="00B5470D">
        <w:rPr>
          <w:rFonts w:cstheme="minorHAnsi"/>
        </w:rPr>
        <w:t>emove the need for presentation</w:t>
      </w:r>
      <w:r w:rsidR="003C1750">
        <w:rPr>
          <w:rFonts w:cstheme="minorHAnsi"/>
        </w:rPr>
        <w:t xml:space="preserve"> slide</w:t>
      </w:r>
      <w:r w:rsidR="003821E0">
        <w:rPr>
          <w:rFonts w:cstheme="minorHAnsi"/>
        </w:rPr>
        <w:t>s</w:t>
      </w:r>
      <w:r w:rsidR="003C1750">
        <w:rPr>
          <w:rFonts w:cstheme="minorHAnsi"/>
        </w:rPr>
        <w:t xml:space="preserve"> and </w:t>
      </w:r>
      <w:r w:rsidR="003821E0">
        <w:rPr>
          <w:rFonts w:cstheme="minorHAnsi"/>
        </w:rPr>
        <w:t xml:space="preserve">enhance the opportunity for participants to ask </w:t>
      </w:r>
      <w:r w:rsidR="003C1750">
        <w:rPr>
          <w:rFonts w:cstheme="minorHAnsi"/>
        </w:rPr>
        <w:t>questions during the meeting</w:t>
      </w:r>
      <w:r w:rsidR="008940CD">
        <w:rPr>
          <w:rFonts w:cstheme="minorHAnsi"/>
        </w:rPr>
        <w:t>.</w:t>
      </w:r>
    </w:p>
    <w:p w14:paraId="71525C69" w14:textId="1A367B12" w:rsidR="001017D9" w:rsidRDefault="003C1750" w:rsidP="003C1750">
      <w:pPr>
        <w:pStyle w:val="ListParagraph"/>
        <w:numPr>
          <w:ilvl w:val="0"/>
          <w:numId w:val="15"/>
        </w:numPr>
        <w:rPr>
          <w:rFonts w:cstheme="minorHAnsi"/>
        </w:rPr>
      </w:pPr>
      <w:r>
        <w:rPr>
          <w:rFonts w:cstheme="minorHAnsi"/>
        </w:rPr>
        <w:t xml:space="preserve">On-line meetings </w:t>
      </w:r>
      <w:r w:rsidR="003821E0">
        <w:rPr>
          <w:rFonts w:cstheme="minorHAnsi"/>
        </w:rPr>
        <w:t>are no longer</w:t>
      </w:r>
      <w:r>
        <w:rPr>
          <w:rFonts w:cstheme="minorHAnsi"/>
        </w:rPr>
        <w:t xml:space="preserve"> formed into state-based groups</w:t>
      </w:r>
      <w:r w:rsidR="003821E0">
        <w:rPr>
          <w:rFonts w:cstheme="minorHAnsi"/>
        </w:rPr>
        <w:t xml:space="preserve">. This is not relevant for </w:t>
      </w:r>
      <w:r w:rsidR="008940CD">
        <w:rPr>
          <w:rFonts w:cstheme="minorHAnsi"/>
        </w:rPr>
        <w:t>in-</w:t>
      </w:r>
      <w:r w:rsidR="003821E0">
        <w:rPr>
          <w:rFonts w:cstheme="minorHAnsi"/>
        </w:rPr>
        <w:t>person meetings that may be offered in the future as these will still be conducted in DISER state offices.</w:t>
      </w:r>
    </w:p>
    <w:p w14:paraId="3E84FD1A" w14:textId="101BF54F" w:rsidR="003821E0" w:rsidRPr="003C1750" w:rsidRDefault="003821E0" w:rsidP="003C1750">
      <w:pPr>
        <w:pStyle w:val="ListParagraph"/>
        <w:numPr>
          <w:ilvl w:val="0"/>
          <w:numId w:val="15"/>
        </w:numPr>
        <w:rPr>
          <w:rFonts w:cstheme="minorHAnsi"/>
        </w:rPr>
      </w:pPr>
      <w:r>
        <w:rPr>
          <w:rFonts w:cstheme="minorHAnsi"/>
        </w:rPr>
        <w:t xml:space="preserve">Feedback on these </w:t>
      </w:r>
      <w:r w:rsidR="004742ED">
        <w:rPr>
          <w:rFonts w:cstheme="minorHAnsi"/>
        </w:rPr>
        <w:t>new features</w:t>
      </w:r>
      <w:r>
        <w:rPr>
          <w:rFonts w:cstheme="minorHAnsi"/>
        </w:rPr>
        <w:t xml:space="preserve"> or any other aspect of the meetings </w:t>
      </w:r>
      <w:r w:rsidR="008940CD">
        <w:rPr>
          <w:rFonts w:cstheme="minorHAnsi"/>
        </w:rPr>
        <w:t>was</w:t>
      </w:r>
      <w:r>
        <w:rPr>
          <w:rFonts w:cstheme="minorHAnsi"/>
        </w:rPr>
        <w:t xml:space="preserve"> </w:t>
      </w:r>
      <w:r w:rsidR="004742ED">
        <w:rPr>
          <w:rFonts w:cstheme="minorHAnsi"/>
        </w:rPr>
        <w:t>encouraged</w:t>
      </w:r>
      <w:r>
        <w:rPr>
          <w:rFonts w:cstheme="minorHAnsi"/>
        </w:rPr>
        <w:t xml:space="preserve"> </w:t>
      </w:r>
      <w:r w:rsidR="004742ED">
        <w:rPr>
          <w:rFonts w:cstheme="minorHAnsi"/>
        </w:rPr>
        <w:t xml:space="preserve">and can be sent to </w:t>
      </w:r>
      <w:r w:rsidR="008940CD">
        <w:rPr>
          <w:rFonts w:cstheme="minorHAnsi"/>
        </w:rPr>
        <w:t xml:space="preserve">AusIndustry </w:t>
      </w:r>
      <w:r>
        <w:rPr>
          <w:rFonts w:cstheme="minorHAnsi"/>
        </w:rPr>
        <w:t>at rdti.engagement@industry.gov.au</w:t>
      </w:r>
    </w:p>
    <w:p w14:paraId="7E4B1032" w14:textId="7FB219A3" w:rsidR="009B68AA" w:rsidRDefault="00534C17" w:rsidP="00037FA3">
      <w:pPr>
        <w:pStyle w:val="Heading2"/>
        <w:numPr>
          <w:ilvl w:val="0"/>
          <w:numId w:val="5"/>
        </w:numPr>
        <w:rPr>
          <w:rFonts w:eastAsia="Times New Roman"/>
          <w:lang w:eastAsia="en-AU"/>
        </w:rPr>
      </w:pPr>
      <w:bookmarkStart w:id="10" w:name="_Toc47017063"/>
      <w:bookmarkStart w:id="11" w:name="_Toc47360270"/>
      <w:bookmarkStart w:id="12" w:name="_Toc47366598"/>
      <w:bookmarkStart w:id="13" w:name="_Toc47367228"/>
      <w:bookmarkStart w:id="14" w:name="_Toc47387312"/>
      <w:bookmarkStart w:id="15" w:name="_Toc47446277"/>
      <w:bookmarkStart w:id="16" w:name="_Toc54776177"/>
      <w:bookmarkStart w:id="17" w:name="_Toc54966600"/>
      <w:bookmarkStart w:id="18" w:name="_Toc55305703"/>
      <w:r>
        <w:rPr>
          <w:rFonts w:eastAsia="Times New Roman"/>
          <w:lang w:eastAsia="en-AU"/>
        </w:rPr>
        <w:t>ATO Update</w:t>
      </w:r>
    </w:p>
    <w:p w14:paraId="3AFFBAE8" w14:textId="426591AF" w:rsidR="00885575" w:rsidRPr="00885575" w:rsidRDefault="00E1716E" w:rsidP="00885575">
      <w:pPr>
        <w:ind w:firstLine="360"/>
        <w:rPr>
          <w:lang w:eastAsia="en-AU"/>
        </w:rPr>
      </w:pPr>
      <w:r>
        <w:rPr>
          <w:lang w:eastAsia="en-AU"/>
        </w:rPr>
        <w:t xml:space="preserve">Brett Challans (ATO) </w:t>
      </w:r>
      <w:r w:rsidR="0051393D">
        <w:rPr>
          <w:lang w:eastAsia="en-AU"/>
        </w:rPr>
        <w:t>advised the following</w:t>
      </w:r>
      <w:r w:rsidR="00885575">
        <w:rPr>
          <w:lang w:eastAsia="en-AU"/>
        </w:rPr>
        <w:t>:</w:t>
      </w:r>
    </w:p>
    <w:p w14:paraId="0B414B83" w14:textId="7F089514" w:rsidR="003821E0" w:rsidRDefault="000474ED" w:rsidP="00037FA3">
      <w:pPr>
        <w:pStyle w:val="ListParagraph"/>
        <w:numPr>
          <w:ilvl w:val="0"/>
          <w:numId w:val="7"/>
        </w:numPr>
      </w:pPr>
      <w:r>
        <w:t>T</w:t>
      </w:r>
      <w:r w:rsidR="003821E0">
        <w:t>he final version of the “A</w:t>
      </w:r>
      <w:r w:rsidR="00F31368">
        <w:t>t</w:t>
      </w:r>
      <w:r w:rsidR="003821E0">
        <w:t xml:space="preserve"> Risk” T</w:t>
      </w:r>
      <w:r>
        <w:t xml:space="preserve">axation </w:t>
      </w:r>
      <w:r w:rsidR="003821E0">
        <w:t>R</w:t>
      </w:r>
      <w:r>
        <w:t>uling</w:t>
      </w:r>
      <w:r w:rsidR="00F31368">
        <w:t>,</w:t>
      </w:r>
      <w:r>
        <w:t xml:space="preserve"> TR 2021/5, </w:t>
      </w:r>
      <w:r w:rsidR="003821E0">
        <w:t>w</w:t>
      </w:r>
      <w:r>
        <w:t xml:space="preserve">as published </w:t>
      </w:r>
      <w:r w:rsidR="003821E0">
        <w:t>in December 2021.</w:t>
      </w:r>
    </w:p>
    <w:p w14:paraId="0522388A" w14:textId="0D80D90A" w:rsidR="000474ED" w:rsidRDefault="003821E0" w:rsidP="00037FA3">
      <w:pPr>
        <w:pStyle w:val="ListParagraph"/>
        <w:numPr>
          <w:ilvl w:val="0"/>
          <w:numId w:val="7"/>
        </w:numPr>
      </w:pPr>
      <w:r>
        <w:t>This was coupled with the release of Tax D</w:t>
      </w:r>
      <w:r w:rsidR="000474ED">
        <w:t xml:space="preserve">etermination TD 2021/9 </w:t>
      </w:r>
      <w:r w:rsidR="00F31368">
        <w:t xml:space="preserve">on Job Keeper payments </w:t>
      </w:r>
      <w:r w:rsidR="000474ED">
        <w:t>which focuses on notional deductions for R&amp;D activities subsidised by Job Keeper</w:t>
      </w:r>
      <w:r w:rsidR="00F31368">
        <w:t xml:space="preserve"> and is linked to the “At Risk” rule</w:t>
      </w:r>
      <w:r w:rsidR="000474ED">
        <w:t>.</w:t>
      </w:r>
    </w:p>
    <w:p w14:paraId="5A4D0870" w14:textId="6F32309A" w:rsidR="00F31368" w:rsidRDefault="00F31368" w:rsidP="00037FA3">
      <w:pPr>
        <w:pStyle w:val="ListParagraph"/>
        <w:numPr>
          <w:ilvl w:val="0"/>
          <w:numId w:val="7"/>
        </w:numPr>
      </w:pPr>
      <w:r>
        <w:t>The ATO considered all feedback submitted on the draft versions of th</w:t>
      </w:r>
      <w:r w:rsidR="00FF2DC4">
        <w:t>ese</w:t>
      </w:r>
      <w:r>
        <w:t xml:space="preserve"> </w:t>
      </w:r>
      <w:r w:rsidR="008940CD">
        <w:t>new guidance products</w:t>
      </w:r>
      <w:r w:rsidR="00FF2DC4">
        <w:t>.</w:t>
      </w:r>
    </w:p>
    <w:p w14:paraId="0CDFBCD5" w14:textId="55D69506" w:rsidR="000474ED" w:rsidRDefault="00FF2DC4" w:rsidP="00F44B77">
      <w:pPr>
        <w:pStyle w:val="ListParagraph"/>
        <w:numPr>
          <w:ilvl w:val="0"/>
          <w:numId w:val="7"/>
        </w:numPr>
      </w:pPr>
      <w:r>
        <w:t>T</w:t>
      </w:r>
      <w:r w:rsidR="008137A2">
        <w:t>he final ANAO report was tabled in parliament</w:t>
      </w:r>
      <w:r>
        <w:t xml:space="preserve"> in November 2021</w:t>
      </w:r>
      <w:r w:rsidR="004742ED">
        <w:t xml:space="preserve"> and is available on their website</w:t>
      </w:r>
      <w:r w:rsidR="008137A2">
        <w:t>. The ATO was rated largely effective in its administration</w:t>
      </w:r>
      <w:r>
        <w:t xml:space="preserve"> and is addres</w:t>
      </w:r>
      <w:r w:rsidR="00F31368">
        <w:t xml:space="preserve">sing </w:t>
      </w:r>
      <w:r>
        <w:t>the</w:t>
      </w:r>
      <w:r w:rsidR="00F31368">
        <w:t xml:space="preserve"> ANAO’s </w:t>
      </w:r>
      <w:r w:rsidR="000474ED">
        <w:t xml:space="preserve">recommendation </w:t>
      </w:r>
      <w:r>
        <w:t>to establish monitoring and reporting arrangements for its compliance activities.</w:t>
      </w:r>
    </w:p>
    <w:p w14:paraId="29A744C9" w14:textId="1416F4F3" w:rsidR="008137A2" w:rsidRDefault="008137A2" w:rsidP="00037FA3">
      <w:pPr>
        <w:pStyle w:val="ListParagraph"/>
        <w:numPr>
          <w:ilvl w:val="0"/>
          <w:numId w:val="7"/>
        </w:numPr>
      </w:pPr>
      <w:r>
        <w:t xml:space="preserve">The Board of Taxation </w:t>
      </w:r>
      <w:r w:rsidR="00FF2DC4">
        <w:t>also</w:t>
      </w:r>
      <w:r>
        <w:t xml:space="preserve"> finalised their review and provided this to the Treasurer. </w:t>
      </w:r>
      <w:r w:rsidR="00965F6D">
        <w:t>There has been n</w:t>
      </w:r>
      <w:r w:rsidR="00FF2DC4">
        <w:t>o announcement made on whether this report will be made public.</w:t>
      </w:r>
    </w:p>
    <w:p w14:paraId="7E5C01C7" w14:textId="4B2A5B6C" w:rsidR="000474ED" w:rsidRDefault="000474ED" w:rsidP="00037FA3">
      <w:pPr>
        <w:pStyle w:val="ListParagraph"/>
        <w:numPr>
          <w:ilvl w:val="0"/>
          <w:numId w:val="7"/>
        </w:numPr>
      </w:pPr>
      <w:r>
        <w:t xml:space="preserve">Further guidance on the legislative reforms that take effect from 1 July 2022 will </w:t>
      </w:r>
      <w:r w:rsidR="00FF2DC4">
        <w:t xml:space="preserve">soon </w:t>
      </w:r>
      <w:r>
        <w:t>be published on ato.gov.au.</w:t>
      </w:r>
      <w:r w:rsidR="008137A2">
        <w:t xml:space="preserve"> </w:t>
      </w:r>
      <w:r w:rsidR="00FF2DC4">
        <w:t xml:space="preserve">It has not happened before now as the ATO did not want to confuse users about forthcoming changes </w:t>
      </w:r>
      <w:r w:rsidR="00F44B77">
        <w:t xml:space="preserve">while </w:t>
      </w:r>
      <w:r w:rsidR="00FF2DC4">
        <w:t xml:space="preserve">the existing legislation </w:t>
      </w:r>
      <w:r w:rsidR="00F44B77">
        <w:t>is in force</w:t>
      </w:r>
      <w:r w:rsidR="00FF2DC4">
        <w:t>.</w:t>
      </w:r>
    </w:p>
    <w:p w14:paraId="2ABD3DA9" w14:textId="63EE5D0D" w:rsidR="000474ED" w:rsidRDefault="000474ED" w:rsidP="00037FA3">
      <w:pPr>
        <w:pStyle w:val="ListParagraph"/>
        <w:numPr>
          <w:ilvl w:val="0"/>
          <w:numId w:val="7"/>
        </w:numPr>
        <w:spacing w:before="0" w:after="200" w:line="276" w:lineRule="auto"/>
      </w:pPr>
      <w:r w:rsidRPr="00CE72DA">
        <w:t xml:space="preserve">The ATO is reviewing </w:t>
      </w:r>
      <w:r w:rsidR="00B5470D">
        <w:t xml:space="preserve">its </w:t>
      </w:r>
      <w:r w:rsidRPr="00CE72DA">
        <w:t xml:space="preserve">website content </w:t>
      </w:r>
      <w:r w:rsidR="004742ED">
        <w:t>and upgrading its</w:t>
      </w:r>
      <w:r w:rsidR="004742ED" w:rsidRPr="00CE72DA">
        <w:t xml:space="preserve"> </w:t>
      </w:r>
      <w:r w:rsidRPr="00CE72DA">
        <w:t>guidance products. The website will be restructured to present information in a modular format and search functions will be improved</w:t>
      </w:r>
      <w:r w:rsidR="00F44B77">
        <w:t xml:space="preserve"> to assist user navigation</w:t>
      </w:r>
      <w:r w:rsidRPr="00CE72DA">
        <w:t xml:space="preserve">. Guidance will </w:t>
      </w:r>
      <w:r w:rsidR="00F44B77">
        <w:t xml:space="preserve">only </w:t>
      </w:r>
      <w:r w:rsidRPr="00CE72DA">
        <w:t>be p</w:t>
      </w:r>
      <w:r w:rsidR="00F44B77">
        <w:t xml:space="preserve">ublished </w:t>
      </w:r>
      <w:r w:rsidRPr="00CE72DA">
        <w:t>on the website to enable real</w:t>
      </w:r>
      <w:r>
        <w:t>-</w:t>
      </w:r>
      <w:r w:rsidRPr="00CE72DA">
        <w:t>time updates.</w:t>
      </w:r>
      <w:r>
        <w:t xml:space="preserve"> Additional guidance will be offered on record keeping, payments to associates, apportionment, and the nexus between expenditure and activities.</w:t>
      </w:r>
    </w:p>
    <w:p w14:paraId="67C48F83" w14:textId="4AEFF7C5" w:rsidR="00F44B77" w:rsidRDefault="00F44B77" w:rsidP="00037FA3">
      <w:pPr>
        <w:pStyle w:val="ListParagraph"/>
        <w:numPr>
          <w:ilvl w:val="0"/>
          <w:numId w:val="7"/>
        </w:numPr>
        <w:spacing w:before="0" w:after="200" w:line="276" w:lineRule="auto"/>
      </w:pPr>
      <w:r>
        <w:t>Further guidance on record-keeping and expenditure for software-related activities will be developed in collaboration with the Tech Council of Australia and AusIndustry.</w:t>
      </w:r>
    </w:p>
    <w:p w14:paraId="1E6C02EE" w14:textId="4FBFD90E" w:rsidR="00901E6B" w:rsidRPr="00C453DA" w:rsidRDefault="00F44B77" w:rsidP="004742ED">
      <w:pPr>
        <w:pStyle w:val="ListParagraph"/>
        <w:numPr>
          <w:ilvl w:val="0"/>
          <w:numId w:val="7"/>
        </w:numPr>
        <w:spacing w:before="0" w:after="200" w:line="276" w:lineRule="auto"/>
      </w:pPr>
      <w:r>
        <w:t>The ATO will also work with AusIndustry to jointly develop a start-up guide to help new companies set up good governance practices from their outset.</w:t>
      </w:r>
    </w:p>
    <w:bookmarkEnd w:id="10"/>
    <w:bookmarkEnd w:id="11"/>
    <w:bookmarkEnd w:id="12"/>
    <w:bookmarkEnd w:id="13"/>
    <w:bookmarkEnd w:id="14"/>
    <w:bookmarkEnd w:id="15"/>
    <w:bookmarkEnd w:id="16"/>
    <w:bookmarkEnd w:id="17"/>
    <w:bookmarkEnd w:id="18"/>
    <w:p w14:paraId="782BDB74" w14:textId="5BCACD29" w:rsidR="00177D26" w:rsidRPr="00177D26" w:rsidRDefault="000474ED" w:rsidP="004742ED">
      <w:pPr>
        <w:pStyle w:val="Heading2"/>
        <w:numPr>
          <w:ilvl w:val="0"/>
          <w:numId w:val="5"/>
        </w:numPr>
        <w:rPr>
          <w:rFonts w:cstheme="minorHAnsi"/>
          <w:sz w:val="22"/>
          <w:szCs w:val="22"/>
          <w:lang w:eastAsia="en-AU"/>
        </w:rPr>
      </w:pPr>
      <w:r>
        <w:rPr>
          <w:lang w:eastAsia="en-AU"/>
        </w:rPr>
        <w:t>AusIndustry Update</w:t>
      </w:r>
    </w:p>
    <w:p w14:paraId="0FF16A1B" w14:textId="7DAC33BB" w:rsidR="009B68AA" w:rsidRPr="00885575" w:rsidRDefault="007B766B" w:rsidP="002A2407">
      <w:pPr>
        <w:pStyle w:val="Heading3"/>
        <w:rPr>
          <w:lang w:eastAsia="en-AU"/>
        </w:rPr>
      </w:pPr>
      <w:r>
        <w:rPr>
          <w:lang w:eastAsia="en-AU"/>
        </w:rPr>
        <w:t xml:space="preserve">3.1 </w:t>
      </w:r>
      <w:r w:rsidR="009B68AA" w:rsidRPr="00885575">
        <w:rPr>
          <w:lang w:eastAsia="en-AU"/>
        </w:rPr>
        <w:t>R&amp;DTI Customer Portal</w:t>
      </w:r>
      <w:r w:rsidR="002A2407">
        <w:rPr>
          <w:lang w:eastAsia="en-AU"/>
        </w:rPr>
        <w:t xml:space="preserve"> (Keelie Williams)</w:t>
      </w:r>
    </w:p>
    <w:p w14:paraId="24A88899" w14:textId="7AFDA5A8" w:rsidR="000474ED" w:rsidRPr="00885575" w:rsidRDefault="007B766B" w:rsidP="00037FA3">
      <w:pPr>
        <w:pStyle w:val="ListParagraph"/>
        <w:numPr>
          <w:ilvl w:val="0"/>
          <w:numId w:val="7"/>
        </w:numPr>
        <w:rPr>
          <w:lang w:eastAsia="en-AU"/>
        </w:rPr>
      </w:pPr>
      <w:r>
        <w:rPr>
          <w:lang w:eastAsia="en-AU"/>
        </w:rPr>
        <w:t xml:space="preserve">The system release </w:t>
      </w:r>
      <w:r w:rsidR="00123DAE">
        <w:rPr>
          <w:lang w:eastAsia="en-AU"/>
        </w:rPr>
        <w:t xml:space="preserve">on </w:t>
      </w:r>
      <w:r w:rsidR="000474ED" w:rsidRPr="00885575">
        <w:rPr>
          <w:lang w:eastAsia="en-AU"/>
        </w:rPr>
        <w:t>27 February 2022</w:t>
      </w:r>
      <w:r>
        <w:rPr>
          <w:lang w:eastAsia="en-AU"/>
        </w:rPr>
        <w:t xml:space="preserve"> included the following updates</w:t>
      </w:r>
      <w:r w:rsidR="004742ED">
        <w:rPr>
          <w:lang w:eastAsia="en-AU"/>
        </w:rPr>
        <w:t>:</w:t>
      </w:r>
    </w:p>
    <w:p w14:paraId="708D102C" w14:textId="4B7C1AC6" w:rsidR="000474ED" w:rsidRPr="00885575" w:rsidRDefault="004742ED" w:rsidP="00037FA3">
      <w:pPr>
        <w:pStyle w:val="ListParagraph"/>
        <w:numPr>
          <w:ilvl w:val="1"/>
          <w:numId w:val="8"/>
        </w:numPr>
        <w:spacing w:before="0" w:after="200" w:line="276" w:lineRule="auto"/>
        <w:rPr>
          <w:lang w:eastAsia="en-AU"/>
        </w:rPr>
      </w:pPr>
      <w:r>
        <w:rPr>
          <w:lang w:eastAsia="en-AU"/>
        </w:rPr>
        <w:t>Adding c</w:t>
      </w:r>
      <w:r w:rsidR="00C2660C">
        <w:rPr>
          <w:lang w:eastAsia="en-AU"/>
        </w:rPr>
        <w:t>apa</w:t>
      </w:r>
      <w:r w:rsidR="000474ED" w:rsidRPr="00885575">
        <w:rPr>
          <w:lang w:eastAsia="en-AU"/>
        </w:rPr>
        <w:t>bility to download and print the application form and A</w:t>
      </w:r>
      <w:r w:rsidR="00C2660C">
        <w:rPr>
          <w:lang w:eastAsia="en-AU"/>
        </w:rPr>
        <w:t xml:space="preserve">dvance and </w:t>
      </w:r>
      <w:r w:rsidR="000474ED" w:rsidRPr="00885575">
        <w:rPr>
          <w:lang w:eastAsia="en-AU"/>
        </w:rPr>
        <w:t>O</w:t>
      </w:r>
      <w:r w:rsidR="00C2660C">
        <w:rPr>
          <w:lang w:eastAsia="en-AU"/>
        </w:rPr>
        <w:t xml:space="preserve">verseas </w:t>
      </w:r>
      <w:r w:rsidR="000474ED" w:rsidRPr="00885575">
        <w:rPr>
          <w:lang w:eastAsia="en-AU"/>
        </w:rPr>
        <w:t>F</w:t>
      </w:r>
      <w:r w:rsidR="00C2660C">
        <w:rPr>
          <w:lang w:eastAsia="en-AU"/>
        </w:rPr>
        <w:t>inding</w:t>
      </w:r>
      <w:r w:rsidR="000474ED" w:rsidRPr="00885575">
        <w:rPr>
          <w:lang w:eastAsia="en-AU"/>
        </w:rPr>
        <w:t xml:space="preserve"> </w:t>
      </w:r>
      <w:r w:rsidR="00C2660C">
        <w:rPr>
          <w:lang w:eastAsia="en-AU"/>
        </w:rPr>
        <w:t xml:space="preserve">application </w:t>
      </w:r>
      <w:r w:rsidR="000474ED" w:rsidRPr="00885575">
        <w:rPr>
          <w:lang w:eastAsia="en-AU"/>
        </w:rPr>
        <w:t>fo</w:t>
      </w:r>
      <w:r w:rsidR="00885575">
        <w:rPr>
          <w:lang w:eastAsia="en-AU"/>
        </w:rPr>
        <w:t>rm at any stage of the process.</w:t>
      </w:r>
      <w:r w:rsidR="000474ED" w:rsidRPr="00885575">
        <w:rPr>
          <w:lang w:eastAsia="en-AU"/>
        </w:rPr>
        <w:t xml:space="preserve"> </w:t>
      </w:r>
    </w:p>
    <w:p w14:paraId="6EB269D5" w14:textId="019C1BF7" w:rsidR="000474ED" w:rsidRPr="00885575" w:rsidRDefault="004742ED" w:rsidP="00037FA3">
      <w:pPr>
        <w:pStyle w:val="ListParagraph"/>
        <w:numPr>
          <w:ilvl w:val="1"/>
          <w:numId w:val="8"/>
        </w:numPr>
        <w:spacing w:before="0" w:after="200" w:line="276" w:lineRule="auto"/>
        <w:rPr>
          <w:lang w:eastAsia="en-AU"/>
        </w:rPr>
      </w:pPr>
      <w:r>
        <w:rPr>
          <w:lang w:eastAsia="en-AU"/>
        </w:rPr>
        <w:t>Enabling a</w:t>
      </w:r>
      <w:r w:rsidR="000474ED" w:rsidRPr="00885575">
        <w:rPr>
          <w:lang w:eastAsia="en-AU"/>
        </w:rPr>
        <w:t>pplication due dates to take public holidays and weekends</w:t>
      </w:r>
      <w:r w:rsidR="00C2660C">
        <w:rPr>
          <w:lang w:eastAsia="en-AU"/>
        </w:rPr>
        <w:t xml:space="preserve"> into account</w:t>
      </w:r>
      <w:r w:rsidR="000474ED" w:rsidRPr="00885575">
        <w:rPr>
          <w:lang w:eastAsia="en-AU"/>
        </w:rPr>
        <w:t xml:space="preserve">.  </w:t>
      </w:r>
    </w:p>
    <w:p w14:paraId="4D930857" w14:textId="14E90829" w:rsidR="000474ED" w:rsidRPr="00885575" w:rsidRDefault="004742ED" w:rsidP="00037FA3">
      <w:pPr>
        <w:pStyle w:val="ListParagraph"/>
        <w:numPr>
          <w:ilvl w:val="1"/>
          <w:numId w:val="8"/>
        </w:numPr>
        <w:spacing w:before="0" w:after="200" w:line="276" w:lineRule="auto"/>
        <w:rPr>
          <w:lang w:eastAsia="en-AU"/>
        </w:rPr>
      </w:pPr>
      <w:r>
        <w:rPr>
          <w:lang w:eastAsia="en-AU"/>
        </w:rPr>
        <w:lastRenderedPageBreak/>
        <w:t>Incorporating the f</w:t>
      </w:r>
      <w:r w:rsidR="000474ED" w:rsidRPr="00885575">
        <w:rPr>
          <w:lang w:eastAsia="en-AU"/>
        </w:rPr>
        <w:t xml:space="preserve">ull set of questions for activities </w:t>
      </w:r>
      <w:r w:rsidR="0051393D">
        <w:rPr>
          <w:lang w:eastAsia="en-AU"/>
        </w:rPr>
        <w:t xml:space="preserve">undertaken by </w:t>
      </w:r>
      <w:r w:rsidR="000474ED" w:rsidRPr="00885575">
        <w:rPr>
          <w:lang w:eastAsia="en-AU"/>
        </w:rPr>
        <w:t>a R</w:t>
      </w:r>
      <w:r w:rsidR="0051393D">
        <w:rPr>
          <w:lang w:eastAsia="en-AU"/>
        </w:rPr>
        <w:t xml:space="preserve">esearch </w:t>
      </w:r>
      <w:r w:rsidR="000474ED" w:rsidRPr="00885575">
        <w:rPr>
          <w:lang w:eastAsia="en-AU"/>
        </w:rPr>
        <w:t>S</w:t>
      </w:r>
      <w:r w:rsidR="0051393D">
        <w:rPr>
          <w:lang w:eastAsia="en-AU"/>
        </w:rPr>
        <w:t xml:space="preserve">ervice </w:t>
      </w:r>
      <w:r w:rsidR="000474ED" w:rsidRPr="00885575">
        <w:rPr>
          <w:lang w:eastAsia="en-AU"/>
        </w:rPr>
        <w:t>P</w:t>
      </w:r>
      <w:r w:rsidR="0051393D">
        <w:rPr>
          <w:lang w:eastAsia="en-AU"/>
        </w:rPr>
        <w:t>rovider</w:t>
      </w:r>
      <w:r w:rsidR="000474ED" w:rsidRPr="00885575">
        <w:rPr>
          <w:lang w:eastAsia="en-AU"/>
        </w:rPr>
        <w:t xml:space="preserve"> or C</w:t>
      </w:r>
      <w:r w:rsidR="0051393D">
        <w:rPr>
          <w:lang w:eastAsia="en-AU"/>
        </w:rPr>
        <w:t xml:space="preserve">ooperative </w:t>
      </w:r>
      <w:r w:rsidR="000474ED" w:rsidRPr="00885575">
        <w:rPr>
          <w:lang w:eastAsia="en-AU"/>
        </w:rPr>
        <w:t>R</w:t>
      </w:r>
      <w:r w:rsidR="0051393D">
        <w:rPr>
          <w:lang w:eastAsia="en-AU"/>
        </w:rPr>
        <w:t xml:space="preserve">esearch </w:t>
      </w:r>
      <w:r w:rsidR="000474ED" w:rsidRPr="00885575">
        <w:rPr>
          <w:lang w:eastAsia="en-AU"/>
        </w:rPr>
        <w:t>C</w:t>
      </w:r>
      <w:r w:rsidR="0051393D">
        <w:rPr>
          <w:lang w:eastAsia="en-AU"/>
        </w:rPr>
        <w:t>entre</w:t>
      </w:r>
      <w:r w:rsidR="000474ED" w:rsidRPr="00885575">
        <w:rPr>
          <w:lang w:eastAsia="en-AU"/>
        </w:rPr>
        <w:t xml:space="preserve">. </w:t>
      </w:r>
    </w:p>
    <w:p w14:paraId="1CB3C41B" w14:textId="5891389B" w:rsidR="000474ED" w:rsidRPr="00885575" w:rsidRDefault="0051393D" w:rsidP="00037FA3">
      <w:pPr>
        <w:pStyle w:val="ListParagraph"/>
        <w:numPr>
          <w:ilvl w:val="0"/>
          <w:numId w:val="8"/>
        </w:numPr>
        <w:rPr>
          <w:lang w:eastAsia="en-AU"/>
        </w:rPr>
      </w:pPr>
      <w:r>
        <w:rPr>
          <w:lang w:eastAsia="en-AU"/>
        </w:rPr>
        <w:t>N</w:t>
      </w:r>
      <w:r w:rsidR="000474ED" w:rsidRPr="00885575">
        <w:rPr>
          <w:lang w:eastAsia="en-AU"/>
        </w:rPr>
        <w:t xml:space="preserve">o major updates </w:t>
      </w:r>
      <w:r>
        <w:rPr>
          <w:lang w:eastAsia="en-AU"/>
        </w:rPr>
        <w:t xml:space="preserve">are </w:t>
      </w:r>
      <w:r w:rsidR="000474ED" w:rsidRPr="00885575">
        <w:rPr>
          <w:lang w:eastAsia="en-AU"/>
        </w:rPr>
        <w:t>planned for 2022, however</w:t>
      </w:r>
      <w:r>
        <w:rPr>
          <w:lang w:eastAsia="en-AU"/>
        </w:rPr>
        <w:t>,</w:t>
      </w:r>
      <w:r w:rsidR="000474ED" w:rsidRPr="00885575">
        <w:rPr>
          <w:lang w:eastAsia="en-AU"/>
        </w:rPr>
        <w:t xml:space="preserve"> the</w:t>
      </w:r>
      <w:r w:rsidR="008144EA">
        <w:rPr>
          <w:lang w:eastAsia="en-AU"/>
        </w:rPr>
        <w:t xml:space="preserve"> Australian and New Zealand Standard Research Classification</w:t>
      </w:r>
      <w:r w:rsidR="000474ED" w:rsidRPr="00885575">
        <w:rPr>
          <w:lang w:eastAsia="en-AU"/>
        </w:rPr>
        <w:t xml:space="preserve"> </w:t>
      </w:r>
      <w:r w:rsidR="008144EA">
        <w:rPr>
          <w:lang w:eastAsia="en-AU"/>
        </w:rPr>
        <w:t>(</w:t>
      </w:r>
      <w:r w:rsidR="000474ED" w:rsidRPr="00885575">
        <w:rPr>
          <w:lang w:eastAsia="en-AU"/>
        </w:rPr>
        <w:t>ANZSRC</w:t>
      </w:r>
      <w:r w:rsidR="008144EA">
        <w:rPr>
          <w:lang w:eastAsia="en-AU"/>
        </w:rPr>
        <w:t>)</w:t>
      </w:r>
      <w:r w:rsidR="000474ED" w:rsidRPr="00885575">
        <w:rPr>
          <w:lang w:eastAsia="en-AU"/>
        </w:rPr>
        <w:t xml:space="preserve"> codes will be updated to the 2020 version around mid-year</w:t>
      </w:r>
      <w:r w:rsidR="00C2660C">
        <w:rPr>
          <w:lang w:eastAsia="en-AU"/>
        </w:rPr>
        <w:t>. This will bring the portal</w:t>
      </w:r>
      <w:r>
        <w:rPr>
          <w:lang w:eastAsia="en-AU"/>
        </w:rPr>
        <w:t xml:space="preserve"> in line with changes </w:t>
      </w:r>
      <w:r w:rsidR="004742ED">
        <w:rPr>
          <w:lang w:eastAsia="en-AU"/>
        </w:rPr>
        <w:t xml:space="preserve">introduced by </w:t>
      </w:r>
      <w:r>
        <w:rPr>
          <w:lang w:eastAsia="en-AU"/>
        </w:rPr>
        <w:t xml:space="preserve">the updated </w:t>
      </w:r>
      <w:r w:rsidRPr="0091107E">
        <w:rPr>
          <w:i/>
          <w:lang w:eastAsia="en-AU"/>
        </w:rPr>
        <w:t>Industry Research &amp; Development Regulations</w:t>
      </w:r>
      <w:r w:rsidR="00C2660C" w:rsidRPr="0091107E">
        <w:rPr>
          <w:i/>
          <w:lang w:eastAsia="en-AU"/>
        </w:rPr>
        <w:t xml:space="preserve"> 2022</w:t>
      </w:r>
      <w:r w:rsidR="000474ED" w:rsidRPr="00885575">
        <w:rPr>
          <w:lang w:eastAsia="en-AU"/>
        </w:rPr>
        <w:t xml:space="preserve">. </w:t>
      </w:r>
    </w:p>
    <w:p w14:paraId="7E911D95" w14:textId="2482058C" w:rsidR="00077F9D" w:rsidRDefault="000474ED" w:rsidP="00B5470D">
      <w:pPr>
        <w:pStyle w:val="ListParagraph"/>
        <w:numPr>
          <w:ilvl w:val="0"/>
          <w:numId w:val="8"/>
        </w:numPr>
        <w:rPr>
          <w:lang w:eastAsia="en-AU"/>
        </w:rPr>
      </w:pPr>
      <w:r w:rsidRPr="00885575">
        <w:rPr>
          <w:lang w:eastAsia="en-AU"/>
        </w:rPr>
        <w:t xml:space="preserve">All feedback regarding the portal is </w:t>
      </w:r>
      <w:r w:rsidR="00C2660C">
        <w:rPr>
          <w:lang w:eastAsia="en-AU"/>
        </w:rPr>
        <w:t xml:space="preserve">welcomed and </w:t>
      </w:r>
      <w:r w:rsidR="00885575" w:rsidRPr="00885575">
        <w:rPr>
          <w:lang w:eastAsia="en-AU"/>
        </w:rPr>
        <w:t>considered</w:t>
      </w:r>
      <w:r w:rsidRPr="00885575">
        <w:rPr>
          <w:lang w:eastAsia="en-AU"/>
        </w:rPr>
        <w:t xml:space="preserve"> </w:t>
      </w:r>
      <w:r w:rsidR="00C2660C">
        <w:rPr>
          <w:lang w:eastAsia="en-AU"/>
        </w:rPr>
        <w:t xml:space="preserve">and can be </w:t>
      </w:r>
      <w:r w:rsidRPr="00885575">
        <w:rPr>
          <w:lang w:eastAsia="en-AU"/>
        </w:rPr>
        <w:t>sen</w:t>
      </w:r>
      <w:r w:rsidR="00C2660C">
        <w:rPr>
          <w:lang w:eastAsia="en-AU"/>
        </w:rPr>
        <w:t>t</w:t>
      </w:r>
      <w:r w:rsidRPr="00885575">
        <w:rPr>
          <w:lang w:eastAsia="en-AU"/>
        </w:rPr>
        <w:t xml:space="preserve"> to </w:t>
      </w:r>
      <w:hyperlink r:id="rId8" w:history="1">
        <w:r w:rsidRPr="00885575">
          <w:rPr>
            <w:rStyle w:val="Hyperlink"/>
            <w:lang w:eastAsia="en-AU"/>
          </w:rPr>
          <w:t>rdti.engagement@industry.gov.au</w:t>
        </w:r>
      </w:hyperlink>
      <w:r w:rsidR="00B5470D">
        <w:rPr>
          <w:rStyle w:val="Hyperlink"/>
          <w:lang w:eastAsia="en-AU"/>
        </w:rPr>
        <w:t>.</w:t>
      </w:r>
      <w:r w:rsidR="00B5470D">
        <w:rPr>
          <w:lang w:eastAsia="en-AU"/>
        </w:rPr>
        <w:t xml:space="preserve"> The</w:t>
      </w:r>
      <w:r w:rsidRPr="00885575">
        <w:rPr>
          <w:lang w:eastAsia="en-AU"/>
        </w:rPr>
        <w:t>re are limitations on changes that can be made</w:t>
      </w:r>
      <w:r w:rsidR="00C2660C">
        <w:rPr>
          <w:lang w:eastAsia="en-AU"/>
        </w:rPr>
        <w:t xml:space="preserve"> given capital restrictions but all items are catalogued and reviewed for potential service </w:t>
      </w:r>
      <w:r w:rsidR="006B1D29">
        <w:rPr>
          <w:lang w:eastAsia="en-AU"/>
        </w:rPr>
        <w:t>and operational impr</w:t>
      </w:r>
      <w:r w:rsidR="00C2660C">
        <w:rPr>
          <w:lang w:eastAsia="en-AU"/>
        </w:rPr>
        <w:t>ovements</w:t>
      </w:r>
      <w:r w:rsidRPr="00885575">
        <w:rPr>
          <w:lang w:eastAsia="en-AU"/>
        </w:rPr>
        <w:t xml:space="preserve">. </w:t>
      </w:r>
    </w:p>
    <w:p w14:paraId="2418513B" w14:textId="51914E4D" w:rsidR="00077F9D" w:rsidRDefault="00130CF4" w:rsidP="00130CF4">
      <w:pPr>
        <w:rPr>
          <w:lang w:eastAsia="en-AU"/>
        </w:rPr>
      </w:pPr>
      <w:r>
        <w:rPr>
          <w:lang w:eastAsia="en-AU"/>
        </w:rPr>
        <w:t xml:space="preserve">Keelie shared </w:t>
      </w:r>
      <w:r w:rsidR="00AB78BB">
        <w:rPr>
          <w:lang w:eastAsia="en-AU"/>
        </w:rPr>
        <w:t xml:space="preserve">AusIndustry’s response to </w:t>
      </w:r>
      <w:r>
        <w:rPr>
          <w:lang w:eastAsia="en-AU"/>
        </w:rPr>
        <w:t>f</w:t>
      </w:r>
      <w:r w:rsidR="00077F9D">
        <w:rPr>
          <w:lang w:eastAsia="en-AU"/>
        </w:rPr>
        <w:t xml:space="preserve">eedback </w:t>
      </w:r>
      <w:r w:rsidR="00AB78BB">
        <w:rPr>
          <w:lang w:eastAsia="en-AU"/>
        </w:rPr>
        <w:t xml:space="preserve">that was </w:t>
      </w:r>
      <w:r w:rsidR="00077F9D">
        <w:rPr>
          <w:lang w:eastAsia="en-AU"/>
        </w:rPr>
        <w:t xml:space="preserve">provided </w:t>
      </w:r>
      <w:r>
        <w:rPr>
          <w:lang w:eastAsia="en-AU"/>
        </w:rPr>
        <w:t xml:space="preserve">by a </w:t>
      </w:r>
      <w:r w:rsidR="00077F9D">
        <w:rPr>
          <w:lang w:eastAsia="en-AU"/>
        </w:rPr>
        <w:t xml:space="preserve">SRG </w:t>
      </w:r>
      <w:r>
        <w:rPr>
          <w:lang w:eastAsia="en-AU"/>
        </w:rPr>
        <w:t xml:space="preserve">participant prior to the </w:t>
      </w:r>
      <w:r w:rsidR="00077F9D">
        <w:rPr>
          <w:lang w:eastAsia="en-AU"/>
        </w:rPr>
        <w:t>sessions</w:t>
      </w:r>
      <w:r>
        <w:rPr>
          <w:lang w:eastAsia="en-AU"/>
        </w:rPr>
        <w:t>:</w:t>
      </w:r>
    </w:p>
    <w:p w14:paraId="6196B275" w14:textId="3F586DC5" w:rsidR="00077F9D" w:rsidRDefault="00077F9D" w:rsidP="00130CF4">
      <w:pPr>
        <w:pStyle w:val="ListParagraph"/>
        <w:numPr>
          <w:ilvl w:val="0"/>
          <w:numId w:val="8"/>
        </w:numPr>
        <w:rPr>
          <w:lang w:eastAsia="en-AU"/>
        </w:rPr>
      </w:pPr>
      <w:r w:rsidRPr="00B5470D">
        <w:rPr>
          <w:i/>
          <w:lang w:eastAsia="en-AU"/>
        </w:rPr>
        <w:t>Removal</w:t>
      </w:r>
      <w:r w:rsidR="00130CF4" w:rsidRPr="00B5470D">
        <w:rPr>
          <w:i/>
          <w:lang w:eastAsia="en-AU"/>
        </w:rPr>
        <w:t>/addition</w:t>
      </w:r>
      <w:r w:rsidRPr="00B5470D">
        <w:rPr>
          <w:i/>
          <w:lang w:eastAsia="en-AU"/>
        </w:rPr>
        <w:t xml:space="preserve"> of questions </w:t>
      </w:r>
      <w:r w:rsidR="00130CF4">
        <w:rPr>
          <w:lang w:eastAsia="en-AU"/>
        </w:rPr>
        <w:t xml:space="preserve">- </w:t>
      </w:r>
      <w:r w:rsidR="006B46A8">
        <w:rPr>
          <w:lang w:eastAsia="en-AU"/>
        </w:rPr>
        <w:t>q</w:t>
      </w:r>
      <w:r>
        <w:rPr>
          <w:lang w:eastAsia="en-AU"/>
        </w:rPr>
        <w:t xml:space="preserve">uestions </w:t>
      </w:r>
      <w:r w:rsidR="00130CF4">
        <w:rPr>
          <w:lang w:eastAsia="en-AU"/>
        </w:rPr>
        <w:t xml:space="preserve">are unlikely </w:t>
      </w:r>
      <w:r>
        <w:rPr>
          <w:lang w:eastAsia="en-AU"/>
        </w:rPr>
        <w:t xml:space="preserve">to change in future </w:t>
      </w:r>
      <w:r w:rsidR="00130CF4">
        <w:rPr>
          <w:lang w:eastAsia="en-AU"/>
        </w:rPr>
        <w:t xml:space="preserve">planned </w:t>
      </w:r>
      <w:r>
        <w:rPr>
          <w:lang w:eastAsia="en-AU"/>
        </w:rPr>
        <w:t>releases</w:t>
      </w:r>
      <w:r w:rsidR="00130CF4">
        <w:rPr>
          <w:lang w:eastAsia="en-AU"/>
        </w:rPr>
        <w:t xml:space="preserve"> as they </w:t>
      </w:r>
      <w:r>
        <w:rPr>
          <w:lang w:eastAsia="en-AU"/>
        </w:rPr>
        <w:t>are work</w:t>
      </w:r>
      <w:r w:rsidR="00130CF4">
        <w:rPr>
          <w:lang w:eastAsia="en-AU"/>
        </w:rPr>
        <w:t>ing</w:t>
      </w:r>
      <w:r>
        <w:rPr>
          <w:lang w:eastAsia="en-AU"/>
        </w:rPr>
        <w:t xml:space="preserve"> well for </w:t>
      </w:r>
      <w:r w:rsidR="00130CF4">
        <w:rPr>
          <w:lang w:eastAsia="en-AU"/>
        </w:rPr>
        <w:t xml:space="preserve">application </w:t>
      </w:r>
      <w:r>
        <w:rPr>
          <w:lang w:eastAsia="en-AU"/>
        </w:rPr>
        <w:t>process</w:t>
      </w:r>
      <w:r w:rsidR="00130CF4">
        <w:rPr>
          <w:lang w:eastAsia="en-AU"/>
        </w:rPr>
        <w:t>ing and many stakeholders have asked for stability with the portal form so they can bed down their own internal processes.</w:t>
      </w:r>
    </w:p>
    <w:p w14:paraId="289064F1" w14:textId="2A4BB7CC" w:rsidR="00077F9D" w:rsidRDefault="00077F9D" w:rsidP="00CE5E0B">
      <w:pPr>
        <w:pStyle w:val="ListParagraph"/>
        <w:numPr>
          <w:ilvl w:val="0"/>
          <w:numId w:val="8"/>
        </w:numPr>
        <w:rPr>
          <w:lang w:eastAsia="en-AU"/>
        </w:rPr>
      </w:pPr>
      <w:r w:rsidRPr="00B5470D">
        <w:rPr>
          <w:i/>
          <w:lang w:eastAsia="en-AU"/>
        </w:rPr>
        <w:t>Increasing character limits</w:t>
      </w:r>
      <w:r w:rsidR="006B46A8">
        <w:rPr>
          <w:lang w:eastAsia="en-AU"/>
        </w:rPr>
        <w:t xml:space="preserve"> - w</w:t>
      </w:r>
      <w:r>
        <w:rPr>
          <w:lang w:eastAsia="en-AU"/>
        </w:rPr>
        <w:t xml:space="preserve">e </w:t>
      </w:r>
      <w:r w:rsidR="00130CF4">
        <w:rPr>
          <w:lang w:eastAsia="en-AU"/>
        </w:rPr>
        <w:t xml:space="preserve">acknowledge that </w:t>
      </w:r>
      <w:r>
        <w:rPr>
          <w:lang w:eastAsia="en-AU"/>
        </w:rPr>
        <w:t>some fields are problematic</w:t>
      </w:r>
      <w:r w:rsidR="00130CF4">
        <w:rPr>
          <w:lang w:eastAsia="en-AU"/>
        </w:rPr>
        <w:t xml:space="preserve"> for users </w:t>
      </w:r>
      <w:r>
        <w:rPr>
          <w:lang w:eastAsia="en-AU"/>
        </w:rPr>
        <w:t xml:space="preserve">and </w:t>
      </w:r>
      <w:r w:rsidR="00130CF4">
        <w:rPr>
          <w:lang w:eastAsia="en-AU"/>
        </w:rPr>
        <w:t xml:space="preserve">we will address </w:t>
      </w:r>
      <w:r>
        <w:rPr>
          <w:lang w:eastAsia="en-AU"/>
        </w:rPr>
        <w:t xml:space="preserve">this </w:t>
      </w:r>
      <w:r w:rsidR="00130CF4">
        <w:rPr>
          <w:lang w:eastAsia="en-AU"/>
        </w:rPr>
        <w:t>for the fields limited to</w:t>
      </w:r>
      <w:r>
        <w:rPr>
          <w:lang w:eastAsia="en-AU"/>
        </w:rPr>
        <w:t xml:space="preserve"> </w:t>
      </w:r>
      <w:r w:rsidR="00130CF4">
        <w:rPr>
          <w:lang w:eastAsia="en-AU"/>
        </w:rPr>
        <w:t>1</w:t>
      </w:r>
      <w:r w:rsidR="00434F89">
        <w:rPr>
          <w:lang w:eastAsia="en-AU"/>
        </w:rPr>
        <w:t>,</w:t>
      </w:r>
      <w:r>
        <w:rPr>
          <w:lang w:eastAsia="en-AU"/>
        </w:rPr>
        <w:t>000 character</w:t>
      </w:r>
      <w:r w:rsidR="00130CF4">
        <w:rPr>
          <w:lang w:eastAsia="en-AU"/>
        </w:rPr>
        <w:t>s</w:t>
      </w:r>
      <w:r>
        <w:rPr>
          <w:lang w:eastAsia="en-AU"/>
        </w:rPr>
        <w:t xml:space="preserve">. </w:t>
      </w:r>
      <w:r w:rsidR="00130CF4">
        <w:rPr>
          <w:lang w:eastAsia="en-AU"/>
        </w:rPr>
        <w:t>The larger fields allowing 4,000 characters will not be changed.</w:t>
      </w:r>
    </w:p>
    <w:p w14:paraId="4CB9EFEB" w14:textId="39F463A4" w:rsidR="00077F9D" w:rsidRDefault="00077F9D" w:rsidP="00CE5E0B">
      <w:pPr>
        <w:pStyle w:val="ListParagraph"/>
        <w:numPr>
          <w:ilvl w:val="0"/>
          <w:numId w:val="8"/>
        </w:numPr>
        <w:rPr>
          <w:lang w:eastAsia="en-AU"/>
        </w:rPr>
      </w:pPr>
      <w:r w:rsidRPr="00B5470D">
        <w:rPr>
          <w:i/>
          <w:lang w:eastAsia="en-AU"/>
        </w:rPr>
        <w:t>Order</w:t>
      </w:r>
      <w:r w:rsidR="00995BCB" w:rsidRPr="00B5470D">
        <w:rPr>
          <w:i/>
          <w:lang w:eastAsia="en-AU"/>
        </w:rPr>
        <w:t>i</w:t>
      </w:r>
      <w:r w:rsidRPr="00B5470D">
        <w:rPr>
          <w:i/>
          <w:lang w:eastAsia="en-AU"/>
        </w:rPr>
        <w:t>ng of projects and activities</w:t>
      </w:r>
      <w:r w:rsidR="00995BCB">
        <w:rPr>
          <w:lang w:eastAsia="en-AU"/>
        </w:rPr>
        <w:t xml:space="preserve"> – presently, ordering can be</w:t>
      </w:r>
      <w:r>
        <w:rPr>
          <w:lang w:eastAsia="en-AU"/>
        </w:rPr>
        <w:t xml:space="preserve"> control</w:t>
      </w:r>
      <w:r w:rsidR="00995BCB">
        <w:rPr>
          <w:lang w:eastAsia="en-AU"/>
        </w:rPr>
        <w:t>led by</w:t>
      </w:r>
      <w:r>
        <w:rPr>
          <w:lang w:eastAsia="en-AU"/>
        </w:rPr>
        <w:t xml:space="preserve"> </w:t>
      </w:r>
      <w:r w:rsidR="00995BCB">
        <w:rPr>
          <w:lang w:eastAsia="en-AU"/>
        </w:rPr>
        <w:t xml:space="preserve">your </w:t>
      </w:r>
      <w:r>
        <w:rPr>
          <w:lang w:eastAsia="en-AU"/>
        </w:rPr>
        <w:t>naming/numbering</w:t>
      </w:r>
      <w:r w:rsidR="00995BCB">
        <w:rPr>
          <w:lang w:eastAsia="en-AU"/>
        </w:rPr>
        <w:t xml:space="preserve"> conventions</w:t>
      </w:r>
      <w:r>
        <w:rPr>
          <w:lang w:eastAsia="en-AU"/>
        </w:rPr>
        <w:t xml:space="preserve">, </w:t>
      </w:r>
      <w:r w:rsidR="00995BCB">
        <w:rPr>
          <w:lang w:eastAsia="en-AU"/>
        </w:rPr>
        <w:t xml:space="preserve">however, </w:t>
      </w:r>
      <w:r>
        <w:rPr>
          <w:lang w:eastAsia="en-AU"/>
        </w:rPr>
        <w:t>we understand there is a desire for more control over this section</w:t>
      </w:r>
      <w:r w:rsidR="00995BCB">
        <w:rPr>
          <w:lang w:eastAsia="en-AU"/>
        </w:rPr>
        <w:t xml:space="preserve"> and will consider this further</w:t>
      </w:r>
      <w:r>
        <w:rPr>
          <w:lang w:eastAsia="en-AU"/>
        </w:rPr>
        <w:t>.</w:t>
      </w:r>
    </w:p>
    <w:p w14:paraId="72753DCE" w14:textId="302648FB" w:rsidR="00077F9D" w:rsidRDefault="00077F9D" w:rsidP="00CE5E0B">
      <w:pPr>
        <w:pStyle w:val="ListParagraph"/>
        <w:numPr>
          <w:ilvl w:val="0"/>
          <w:numId w:val="8"/>
        </w:numPr>
        <w:rPr>
          <w:lang w:eastAsia="en-AU"/>
        </w:rPr>
      </w:pPr>
      <w:r w:rsidRPr="00B5470D">
        <w:rPr>
          <w:i/>
          <w:lang w:eastAsia="en-AU"/>
        </w:rPr>
        <w:t xml:space="preserve">Transferring data from </w:t>
      </w:r>
      <w:r w:rsidR="00995BCB" w:rsidRPr="00B5470D">
        <w:rPr>
          <w:i/>
          <w:lang w:eastAsia="en-AU"/>
        </w:rPr>
        <w:t>prior applications</w:t>
      </w:r>
      <w:r w:rsidR="00995BCB">
        <w:rPr>
          <w:lang w:eastAsia="en-AU"/>
        </w:rPr>
        <w:t xml:space="preserve"> - a</w:t>
      </w:r>
      <w:r>
        <w:rPr>
          <w:lang w:eastAsia="en-AU"/>
        </w:rPr>
        <w:t xml:space="preserve"> second application in the portal </w:t>
      </w:r>
      <w:r w:rsidR="00995BCB">
        <w:rPr>
          <w:lang w:eastAsia="en-AU"/>
        </w:rPr>
        <w:t xml:space="preserve">for the same R&amp;D entity </w:t>
      </w:r>
      <w:r>
        <w:rPr>
          <w:lang w:eastAsia="en-AU"/>
        </w:rPr>
        <w:t xml:space="preserve">will prefill with all fields that are </w:t>
      </w:r>
      <w:r w:rsidR="00995BCB">
        <w:rPr>
          <w:lang w:eastAsia="en-AU"/>
        </w:rPr>
        <w:t xml:space="preserve">generally </w:t>
      </w:r>
      <w:r>
        <w:rPr>
          <w:lang w:eastAsia="en-AU"/>
        </w:rPr>
        <w:t xml:space="preserve">not expected to change between financial years. </w:t>
      </w:r>
      <w:r w:rsidR="00995BCB">
        <w:rPr>
          <w:lang w:eastAsia="en-AU"/>
        </w:rPr>
        <w:t>These benefits should be more visible for users soon</w:t>
      </w:r>
      <w:r>
        <w:rPr>
          <w:lang w:eastAsia="en-AU"/>
        </w:rPr>
        <w:t>.</w:t>
      </w:r>
    </w:p>
    <w:p w14:paraId="68D59FEB" w14:textId="4F30043C" w:rsidR="00077F9D" w:rsidRDefault="00077F9D" w:rsidP="00AB78BB">
      <w:pPr>
        <w:pStyle w:val="ListParagraph"/>
        <w:numPr>
          <w:ilvl w:val="0"/>
          <w:numId w:val="8"/>
        </w:numPr>
        <w:rPr>
          <w:lang w:eastAsia="en-AU"/>
        </w:rPr>
      </w:pPr>
      <w:r w:rsidRPr="00B5470D">
        <w:rPr>
          <w:i/>
          <w:lang w:eastAsia="en-AU"/>
        </w:rPr>
        <w:t xml:space="preserve">Ability to edit </w:t>
      </w:r>
      <w:r w:rsidR="00995BCB" w:rsidRPr="00B5470D">
        <w:rPr>
          <w:i/>
          <w:lang w:eastAsia="en-AU"/>
        </w:rPr>
        <w:t xml:space="preserve">applications </w:t>
      </w:r>
      <w:r w:rsidRPr="00B5470D">
        <w:rPr>
          <w:i/>
          <w:lang w:eastAsia="en-AU"/>
        </w:rPr>
        <w:t>outside of the portal</w:t>
      </w:r>
      <w:r w:rsidR="00995BCB">
        <w:rPr>
          <w:lang w:eastAsia="en-AU"/>
        </w:rPr>
        <w:t xml:space="preserve"> - the ability to work with </w:t>
      </w:r>
      <w:r>
        <w:rPr>
          <w:lang w:eastAsia="en-AU"/>
        </w:rPr>
        <w:t>forms that can be uploaded or otherwise edited outside of the portal</w:t>
      </w:r>
      <w:r w:rsidR="00995BCB">
        <w:rPr>
          <w:lang w:eastAsia="en-AU"/>
        </w:rPr>
        <w:t xml:space="preserve"> presently falls outside our development </w:t>
      </w:r>
      <w:r>
        <w:rPr>
          <w:lang w:eastAsia="en-AU"/>
        </w:rPr>
        <w:t xml:space="preserve">scope </w:t>
      </w:r>
      <w:r w:rsidR="00995BCB">
        <w:rPr>
          <w:lang w:eastAsia="en-AU"/>
        </w:rPr>
        <w:t>which is seeking improvements within the portal.</w:t>
      </w:r>
    </w:p>
    <w:p w14:paraId="46394143" w14:textId="00A99FEC" w:rsidR="00077F9D" w:rsidRDefault="00077F9D" w:rsidP="00AB78BB">
      <w:pPr>
        <w:pStyle w:val="ListParagraph"/>
        <w:numPr>
          <w:ilvl w:val="0"/>
          <w:numId w:val="8"/>
        </w:numPr>
        <w:rPr>
          <w:lang w:eastAsia="en-AU"/>
        </w:rPr>
      </w:pPr>
      <w:r w:rsidRPr="00B5470D">
        <w:rPr>
          <w:i/>
          <w:lang w:eastAsia="en-AU"/>
        </w:rPr>
        <w:t>R&amp;D consultant and tax agent</w:t>
      </w:r>
      <w:r>
        <w:rPr>
          <w:lang w:eastAsia="en-AU"/>
        </w:rPr>
        <w:t xml:space="preserve"> </w:t>
      </w:r>
      <w:r w:rsidR="000B2DA0">
        <w:rPr>
          <w:lang w:eastAsia="en-AU"/>
        </w:rPr>
        <w:t xml:space="preserve">fields – </w:t>
      </w:r>
      <w:r w:rsidR="006B46A8">
        <w:rPr>
          <w:lang w:eastAsia="en-AU"/>
        </w:rPr>
        <w:t>s</w:t>
      </w:r>
      <w:r w:rsidR="000B2DA0">
        <w:rPr>
          <w:lang w:eastAsia="en-AU"/>
        </w:rPr>
        <w:t xml:space="preserve">ome portal users have pointed out a perceived duplication in providing contact details when they are both a Tax Agent and R&amp;D Consultant. Where this applies, an advisor only need to </w:t>
      </w:r>
      <w:r>
        <w:rPr>
          <w:lang w:eastAsia="en-AU"/>
        </w:rPr>
        <w:t>fill out the tax agent contact details.</w:t>
      </w:r>
    </w:p>
    <w:p w14:paraId="4A990703" w14:textId="5E861642" w:rsidR="000B2DA0" w:rsidRDefault="00077F9D" w:rsidP="00B5470D">
      <w:pPr>
        <w:pStyle w:val="ListParagraph"/>
        <w:numPr>
          <w:ilvl w:val="0"/>
          <w:numId w:val="8"/>
        </w:numPr>
        <w:rPr>
          <w:lang w:eastAsia="en-AU"/>
        </w:rPr>
      </w:pPr>
      <w:r w:rsidRPr="00B5470D">
        <w:rPr>
          <w:i/>
          <w:lang w:eastAsia="en-AU"/>
        </w:rPr>
        <w:t>Removing entities from portal</w:t>
      </w:r>
      <w:r w:rsidR="000B2DA0" w:rsidRPr="00CE5E0B">
        <w:rPr>
          <w:i/>
          <w:lang w:eastAsia="en-AU"/>
        </w:rPr>
        <w:t xml:space="preserve"> </w:t>
      </w:r>
      <w:r w:rsidR="006B46A8">
        <w:rPr>
          <w:i/>
          <w:lang w:eastAsia="en-AU"/>
        </w:rPr>
        <w:t>–</w:t>
      </w:r>
      <w:r w:rsidR="000B2DA0" w:rsidRPr="00CE5E0B">
        <w:rPr>
          <w:i/>
          <w:lang w:eastAsia="en-AU"/>
        </w:rPr>
        <w:t xml:space="preserve"> </w:t>
      </w:r>
      <w:r w:rsidR="006B46A8">
        <w:rPr>
          <w:lang w:eastAsia="en-AU"/>
        </w:rPr>
        <w:t xml:space="preserve">the </w:t>
      </w:r>
      <w:r>
        <w:rPr>
          <w:lang w:eastAsia="en-AU"/>
        </w:rPr>
        <w:t xml:space="preserve">feedback </w:t>
      </w:r>
      <w:r w:rsidR="000B2DA0">
        <w:rPr>
          <w:lang w:eastAsia="en-AU"/>
        </w:rPr>
        <w:t xml:space="preserve">requested the ability to </w:t>
      </w:r>
      <w:r>
        <w:rPr>
          <w:lang w:eastAsia="en-AU"/>
        </w:rPr>
        <w:t xml:space="preserve">remove entities from </w:t>
      </w:r>
      <w:r w:rsidR="000B2DA0">
        <w:rPr>
          <w:lang w:eastAsia="en-AU"/>
        </w:rPr>
        <w:t xml:space="preserve">an advisor’s </w:t>
      </w:r>
      <w:r>
        <w:rPr>
          <w:lang w:eastAsia="en-AU"/>
        </w:rPr>
        <w:t xml:space="preserve">portal </w:t>
      </w:r>
      <w:r w:rsidR="000B2DA0">
        <w:rPr>
          <w:lang w:eastAsia="en-AU"/>
        </w:rPr>
        <w:t xml:space="preserve">where you </w:t>
      </w:r>
      <w:r>
        <w:rPr>
          <w:lang w:eastAsia="en-AU"/>
        </w:rPr>
        <w:t xml:space="preserve">have </w:t>
      </w:r>
      <w:r w:rsidR="000B2DA0">
        <w:rPr>
          <w:lang w:eastAsia="en-AU"/>
        </w:rPr>
        <w:t xml:space="preserve">been </w:t>
      </w:r>
      <w:r>
        <w:rPr>
          <w:lang w:eastAsia="en-AU"/>
        </w:rPr>
        <w:t>author</w:t>
      </w:r>
      <w:r w:rsidR="000B2DA0">
        <w:rPr>
          <w:lang w:eastAsia="en-AU"/>
        </w:rPr>
        <w:t>i</w:t>
      </w:r>
      <w:r>
        <w:rPr>
          <w:lang w:eastAsia="en-AU"/>
        </w:rPr>
        <w:t xml:space="preserve">sed by accident </w:t>
      </w:r>
      <w:r w:rsidR="000B2DA0">
        <w:rPr>
          <w:lang w:eastAsia="en-AU"/>
        </w:rPr>
        <w:t xml:space="preserve">or some other reason. This issue </w:t>
      </w:r>
      <w:r>
        <w:rPr>
          <w:lang w:eastAsia="en-AU"/>
        </w:rPr>
        <w:t xml:space="preserve">will </w:t>
      </w:r>
      <w:r w:rsidR="000B2DA0">
        <w:rPr>
          <w:lang w:eastAsia="en-AU"/>
        </w:rPr>
        <w:t>be investigated.</w:t>
      </w:r>
    </w:p>
    <w:p w14:paraId="26669B84" w14:textId="083A91AC" w:rsidR="00077F9D" w:rsidRPr="00885575" w:rsidRDefault="00077F9D" w:rsidP="00B5470D">
      <w:pPr>
        <w:pStyle w:val="ListParagraph"/>
        <w:numPr>
          <w:ilvl w:val="0"/>
          <w:numId w:val="8"/>
        </w:numPr>
        <w:rPr>
          <w:lang w:eastAsia="en-AU"/>
        </w:rPr>
      </w:pPr>
      <w:r w:rsidRPr="00B5470D">
        <w:rPr>
          <w:i/>
          <w:lang w:eastAsia="en-AU"/>
        </w:rPr>
        <w:t>MyGovID and RAM</w:t>
      </w:r>
      <w:r>
        <w:rPr>
          <w:lang w:eastAsia="en-AU"/>
        </w:rPr>
        <w:t xml:space="preserve"> – </w:t>
      </w:r>
      <w:r w:rsidR="000B2DA0">
        <w:rPr>
          <w:lang w:eastAsia="en-AU"/>
        </w:rPr>
        <w:t xml:space="preserve">all </w:t>
      </w:r>
      <w:r>
        <w:rPr>
          <w:lang w:eastAsia="en-AU"/>
        </w:rPr>
        <w:t xml:space="preserve">feedback </w:t>
      </w:r>
      <w:r w:rsidR="000B2DA0">
        <w:rPr>
          <w:lang w:eastAsia="en-AU"/>
        </w:rPr>
        <w:t xml:space="preserve">received </w:t>
      </w:r>
      <w:r>
        <w:rPr>
          <w:lang w:eastAsia="en-AU"/>
        </w:rPr>
        <w:t xml:space="preserve">on these services </w:t>
      </w:r>
      <w:r w:rsidR="000B2DA0">
        <w:rPr>
          <w:lang w:eastAsia="en-AU"/>
        </w:rPr>
        <w:t xml:space="preserve">is passed </w:t>
      </w:r>
      <w:r>
        <w:rPr>
          <w:lang w:eastAsia="en-AU"/>
        </w:rPr>
        <w:t>to the ATO</w:t>
      </w:r>
      <w:r w:rsidR="002F0A73">
        <w:rPr>
          <w:lang w:eastAsia="en-AU"/>
        </w:rPr>
        <w:t xml:space="preserve"> as the owner of these systems</w:t>
      </w:r>
      <w:r w:rsidR="000B2DA0">
        <w:rPr>
          <w:lang w:eastAsia="en-AU"/>
        </w:rPr>
        <w:t>. The</w:t>
      </w:r>
      <w:r w:rsidR="002F0A73">
        <w:rPr>
          <w:lang w:eastAsia="en-AU"/>
        </w:rPr>
        <w:t>se</w:t>
      </w:r>
      <w:r w:rsidR="000B2DA0">
        <w:rPr>
          <w:lang w:eastAsia="en-AU"/>
        </w:rPr>
        <w:t xml:space="preserve"> </w:t>
      </w:r>
      <w:r>
        <w:rPr>
          <w:lang w:eastAsia="en-AU"/>
        </w:rPr>
        <w:t>whole of government services</w:t>
      </w:r>
      <w:r w:rsidR="000B2DA0">
        <w:rPr>
          <w:lang w:eastAsia="en-AU"/>
        </w:rPr>
        <w:t xml:space="preserve"> </w:t>
      </w:r>
      <w:r w:rsidR="002F0A73">
        <w:rPr>
          <w:lang w:eastAsia="en-AU"/>
        </w:rPr>
        <w:t xml:space="preserve">will continue to apply to the portal </w:t>
      </w:r>
      <w:r w:rsidR="000B2DA0">
        <w:rPr>
          <w:lang w:eastAsia="en-AU"/>
        </w:rPr>
        <w:t>to enable digital security and authorised data access</w:t>
      </w:r>
      <w:r>
        <w:rPr>
          <w:lang w:eastAsia="en-AU"/>
        </w:rPr>
        <w:t>.</w:t>
      </w:r>
    </w:p>
    <w:p w14:paraId="75E796F8" w14:textId="6F26FA54" w:rsidR="00AB78BB" w:rsidRDefault="00CE5E0B" w:rsidP="00123DAE">
      <w:pPr>
        <w:pStyle w:val="Heading3"/>
        <w:numPr>
          <w:ilvl w:val="1"/>
          <w:numId w:val="5"/>
        </w:numPr>
        <w:rPr>
          <w:lang w:eastAsia="en-AU"/>
        </w:rPr>
      </w:pPr>
      <w:r>
        <w:rPr>
          <w:lang w:eastAsia="en-AU"/>
        </w:rPr>
        <w:t>Registration Update (</w:t>
      </w:r>
      <w:r w:rsidR="00885575">
        <w:rPr>
          <w:lang w:eastAsia="en-AU"/>
        </w:rPr>
        <w:t>Kelley Wiggins</w:t>
      </w:r>
      <w:r w:rsidR="00E1716E">
        <w:rPr>
          <w:lang w:eastAsia="en-AU"/>
        </w:rPr>
        <w:t xml:space="preserve"> &amp; Tom Gilbert</w:t>
      </w:r>
      <w:r w:rsidR="00885575" w:rsidRPr="00885575">
        <w:rPr>
          <w:lang w:eastAsia="en-AU"/>
        </w:rPr>
        <w:t>)</w:t>
      </w:r>
    </w:p>
    <w:p w14:paraId="1969BEAB" w14:textId="105C1F5E" w:rsidR="00123DAE" w:rsidRPr="00123DAE" w:rsidRDefault="00123DAE" w:rsidP="00123DAE">
      <w:pPr>
        <w:pStyle w:val="Heading4"/>
        <w:rPr>
          <w:lang w:eastAsia="en-AU"/>
        </w:rPr>
      </w:pPr>
      <w:r>
        <w:rPr>
          <w:lang w:eastAsia="en-AU"/>
        </w:rPr>
        <w:t>30 April Deadline</w:t>
      </w:r>
    </w:p>
    <w:p w14:paraId="1383D1DE" w14:textId="2A9558BC" w:rsidR="00885575" w:rsidRPr="00AB78BB" w:rsidRDefault="00885575" w:rsidP="00B5470D">
      <w:pPr>
        <w:pStyle w:val="ListParagraph"/>
        <w:numPr>
          <w:ilvl w:val="0"/>
          <w:numId w:val="16"/>
        </w:numPr>
        <w:ind w:left="709"/>
      </w:pPr>
      <w:r w:rsidRPr="00AB78BB">
        <w:t xml:space="preserve">The deadline to submit registrations for R&amp;D entities with a </w:t>
      </w:r>
      <w:r w:rsidR="00AB78BB">
        <w:t xml:space="preserve">1 </w:t>
      </w:r>
      <w:r w:rsidRPr="00AB78BB">
        <w:t>July</w:t>
      </w:r>
      <w:r w:rsidR="008D50E2" w:rsidRPr="00AB78BB">
        <w:t xml:space="preserve"> </w:t>
      </w:r>
      <w:r w:rsidR="00AB78BB">
        <w:t xml:space="preserve">to </w:t>
      </w:r>
      <w:r w:rsidRPr="00AB78BB">
        <w:t>30 June income year is 30 April</w:t>
      </w:r>
      <w:r w:rsidR="00AB78BB">
        <w:t xml:space="preserve"> (being 10 months after the end of financial year in which R&amp;D activities are undertaken)</w:t>
      </w:r>
      <w:r w:rsidRPr="00AB78BB">
        <w:t>.</w:t>
      </w:r>
      <w:r w:rsidR="008D50E2" w:rsidRPr="00AB78BB">
        <w:t xml:space="preserve"> </w:t>
      </w:r>
      <w:r w:rsidR="00AB78BB">
        <w:t>A</w:t>
      </w:r>
      <w:r w:rsidRPr="00AB78BB">
        <w:t xml:space="preserve">s 30 April falls on a Saturday </w:t>
      </w:r>
      <w:r w:rsidR="00077F9D" w:rsidRPr="00AB78BB">
        <w:t xml:space="preserve">this year </w:t>
      </w:r>
      <w:r w:rsidRPr="00AB78BB">
        <w:t>and the next business day, Monday 2 May, is a public holiday in Queensland and the Northern Territory</w:t>
      </w:r>
      <w:r w:rsidR="00965F6D">
        <w:t>.</w:t>
      </w:r>
      <w:r w:rsidRPr="00AB78BB">
        <w:t xml:space="preserve"> </w:t>
      </w:r>
      <w:r w:rsidR="00965F6D">
        <w:t>T</w:t>
      </w:r>
      <w:r w:rsidRPr="00AB78BB">
        <w:t xml:space="preserve">he portal will accept registrations until Tuesday 3 May 2022. </w:t>
      </w:r>
    </w:p>
    <w:p w14:paraId="5F75EA4A" w14:textId="0B98C758" w:rsidR="00885575" w:rsidRPr="00CB373C" w:rsidRDefault="00885575" w:rsidP="00077F9D">
      <w:pPr>
        <w:pStyle w:val="ListParagraph"/>
        <w:numPr>
          <w:ilvl w:val="0"/>
          <w:numId w:val="9"/>
        </w:numPr>
        <w:spacing w:before="0" w:after="200" w:line="276" w:lineRule="auto"/>
        <w:rPr>
          <w:lang w:eastAsia="en-AU"/>
        </w:rPr>
      </w:pPr>
      <w:r w:rsidRPr="00CB373C">
        <w:rPr>
          <w:lang w:eastAsia="en-AU"/>
        </w:rPr>
        <w:t>This is the first April deadline sin</w:t>
      </w:r>
      <w:r>
        <w:rPr>
          <w:lang w:eastAsia="en-AU"/>
        </w:rPr>
        <w:t>ce the introduction of the customer p</w:t>
      </w:r>
      <w:r w:rsidRPr="00CB373C">
        <w:rPr>
          <w:lang w:eastAsia="en-AU"/>
        </w:rPr>
        <w:t xml:space="preserve">ortal </w:t>
      </w:r>
      <w:r w:rsidR="00AB78BB">
        <w:rPr>
          <w:lang w:eastAsia="en-AU"/>
        </w:rPr>
        <w:t xml:space="preserve">in </w:t>
      </w:r>
      <w:r w:rsidRPr="00CB373C">
        <w:rPr>
          <w:lang w:eastAsia="en-AU"/>
        </w:rPr>
        <w:t xml:space="preserve">July last year. </w:t>
      </w:r>
      <w:r>
        <w:rPr>
          <w:lang w:eastAsia="en-AU"/>
        </w:rPr>
        <w:t>Accessing the p</w:t>
      </w:r>
      <w:r w:rsidRPr="00CB373C">
        <w:rPr>
          <w:lang w:eastAsia="en-AU"/>
        </w:rPr>
        <w:t xml:space="preserve">ortal </w:t>
      </w:r>
      <w:r w:rsidR="008D50E2">
        <w:rPr>
          <w:lang w:eastAsia="en-AU"/>
        </w:rPr>
        <w:t xml:space="preserve">for the first time </w:t>
      </w:r>
      <w:r w:rsidRPr="00CB373C">
        <w:rPr>
          <w:lang w:eastAsia="en-AU"/>
        </w:rPr>
        <w:t>involve</w:t>
      </w:r>
      <w:r>
        <w:rPr>
          <w:lang w:eastAsia="en-AU"/>
        </w:rPr>
        <w:t>s</w:t>
      </w:r>
      <w:r w:rsidRPr="00CB373C">
        <w:rPr>
          <w:lang w:eastAsia="en-AU"/>
        </w:rPr>
        <w:t xml:space="preserve"> addi</w:t>
      </w:r>
      <w:r>
        <w:rPr>
          <w:lang w:eastAsia="en-AU"/>
        </w:rPr>
        <w:t>tional steps</w:t>
      </w:r>
      <w:r w:rsidR="00AB78BB">
        <w:rPr>
          <w:lang w:eastAsia="en-AU"/>
        </w:rPr>
        <w:t xml:space="preserve"> so </w:t>
      </w:r>
      <w:r w:rsidR="00077F9D">
        <w:rPr>
          <w:lang w:eastAsia="en-AU"/>
        </w:rPr>
        <w:t xml:space="preserve">advisors </w:t>
      </w:r>
      <w:r w:rsidR="00AB78BB">
        <w:rPr>
          <w:lang w:eastAsia="en-AU"/>
        </w:rPr>
        <w:t xml:space="preserve">are </w:t>
      </w:r>
      <w:r>
        <w:rPr>
          <w:lang w:eastAsia="en-AU"/>
        </w:rPr>
        <w:t>encourage</w:t>
      </w:r>
      <w:r w:rsidR="00AB78BB">
        <w:rPr>
          <w:lang w:eastAsia="en-AU"/>
        </w:rPr>
        <w:t>d</w:t>
      </w:r>
      <w:r>
        <w:rPr>
          <w:lang w:eastAsia="en-AU"/>
        </w:rPr>
        <w:t xml:space="preserve"> </w:t>
      </w:r>
      <w:r w:rsidR="00AB78BB">
        <w:rPr>
          <w:lang w:eastAsia="en-AU"/>
        </w:rPr>
        <w:t xml:space="preserve">to get </w:t>
      </w:r>
      <w:r>
        <w:rPr>
          <w:lang w:eastAsia="en-AU"/>
        </w:rPr>
        <w:t xml:space="preserve">their clients </w:t>
      </w:r>
      <w:r w:rsidRPr="00CB373C">
        <w:rPr>
          <w:lang w:eastAsia="en-AU"/>
        </w:rPr>
        <w:t xml:space="preserve">to </w:t>
      </w:r>
      <w:r w:rsidR="00077F9D">
        <w:rPr>
          <w:lang w:eastAsia="en-AU"/>
        </w:rPr>
        <w:t xml:space="preserve">access the portal early </w:t>
      </w:r>
      <w:r w:rsidR="00AB78BB">
        <w:rPr>
          <w:lang w:eastAsia="en-AU"/>
        </w:rPr>
        <w:t>and</w:t>
      </w:r>
      <w:r w:rsidR="00077F9D">
        <w:rPr>
          <w:lang w:eastAsia="en-AU"/>
        </w:rPr>
        <w:t xml:space="preserve"> </w:t>
      </w:r>
      <w:r w:rsidRPr="00CB373C">
        <w:rPr>
          <w:lang w:eastAsia="en-AU"/>
        </w:rPr>
        <w:t xml:space="preserve">allow </w:t>
      </w:r>
      <w:r w:rsidR="00077F9D">
        <w:rPr>
          <w:lang w:eastAsia="en-AU"/>
        </w:rPr>
        <w:t xml:space="preserve">sufficient </w:t>
      </w:r>
      <w:r w:rsidRPr="00CB373C">
        <w:rPr>
          <w:lang w:eastAsia="en-AU"/>
        </w:rPr>
        <w:t xml:space="preserve">time to </w:t>
      </w:r>
      <w:r w:rsidR="00123DAE">
        <w:rPr>
          <w:lang w:eastAsia="en-AU"/>
        </w:rPr>
        <w:t xml:space="preserve">complete the process. </w:t>
      </w:r>
    </w:p>
    <w:p w14:paraId="49AA13FD" w14:textId="16671130" w:rsidR="00885575" w:rsidRDefault="00077F9D" w:rsidP="00037FA3">
      <w:pPr>
        <w:pStyle w:val="ListParagraph"/>
        <w:numPr>
          <w:ilvl w:val="0"/>
          <w:numId w:val="9"/>
        </w:numPr>
        <w:spacing w:before="0" w:after="200" w:line="276" w:lineRule="auto"/>
        <w:rPr>
          <w:lang w:eastAsia="en-AU"/>
        </w:rPr>
      </w:pPr>
      <w:r>
        <w:rPr>
          <w:lang w:eastAsia="en-AU"/>
        </w:rPr>
        <w:lastRenderedPageBreak/>
        <w:t>Where assistance is requi</w:t>
      </w:r>
      <w:r w:rsidR="008D50E2">
        <w:rPr>
          <w:lang w:eastAsia="en-AU"/>
        </w:rPr>
        <w:t>red, a</w:t>
      </w:r>
      <w:r>
        <w:rPr>
          <w:lang w:eastAsia="en-AU"/>
        </w:rPr>
        <w:t>dvisors</w:t>
      </w:r>
      <w:r w:rsidR="00885575">
        <w:rPr>
          <w:lang w:eastAsia="en-AU"/>
        </w:rPr>
        <w:t xml:space="preserve"> were</w:t>
      </w:r>
      <w:r w:rsidR="00885575" w:rsidRPr="00CB373C">
        <w:rPr>
          <w:lang w:eastAsia="en-AU"/>
        </w:rPr>
        <w:t xml:space="preserve"> encourage</w:t>
      </w:r>
      <w:r w:rsidR="00885575">
        <w:rPr>
          <w:lang w:eastAsia="en-AU"/>
        </w:rPr>
        <w:t xml:space="preserve">d to </w:t>
      </w:r>
      <w:r>
        <w:rPr>
          <w:lang w:eastAsia="en-AU"/>
        </w:rPr>
        <w:t xml:space="preserve">seek support from </w:t>
      </w:r>
      <w:r w:rsidR="008D50E2">
        <w:rPr>
          <w:lang w:eastAsia="en-AU"/>
        </w:rPr>
        <w:t xml:space="preserve">DISER on 13 28 46 </w:t>
      </w:r>
      <w:r w:rsidR="00885575">
        <w:rPr>
          <w:lang w:eastAsia="en-AU"/>
        </w:rPr>
        <w:t xml:space="preserve">as early as possible </w:t>
      </w:r>
      <w:r w:rsidR="00885575" w:rsidRPr="00CB373C">
        <w:rPr>
          <w:lang w:eastAsia="en-AU"/>
        </w:rPr>
        <w:t xml:space="preserve">so </w:t>
      </w:r>
      <w:r w:rsidR="008C3A8F">
        <w:rPr>
          <w:lang w:eastAsia="en-AU"/>
        </w:rPr>
        <w:t xml:space="preserve">the </w:t>
      </w:r>
      <w:r w:rsidR="00AB78BB">
        <w:rPr>
          <w:lang w:eastAsia="en-AU"/>
        </w:rPr>
        <w:t xml:space="preserve">AusIndustry </w:t>
      </w:r>
      <w:r w:rsidR="008C3A8F">
        <w:rPr>
          <w:lang w:eastAsia="en-AU"/>
        </w:rPr>
        <w:t>team</w:t>
      </w:r>
      <w:r w:rsidR="00885575" w:rsidRPr="00CB373C">
        <w:rPr>
          <w:lang w:eastAsia="en-AU"/>
        </w:rPr>
        <w:t xml:space="preserve"> </w:t>
      </w:r>
      <w:r w:rsidR="008D50E2" w:rsidRPr="00CB373C">
        <w:rPr>
          <w:lang w:eastAsia="en-AU"/>
        </w:rPr>
        <w:t>ha</w:t>
      </w:r>
      <w:r w:rsidR="00AB78BB">
        <w:rPr>
          <w:lang w:eastAsia="en-AU"/>
        </w:rPr>
        <w:t>s</w:t>
      </w:r>
      <w:r w:rsidR="008D50E2">
        <w:rPr>
          <w:lang w:eastAsia="en-AU"/>
        </w:rPr>
        <w:t xml:space="preserve"> more </w:t>
      </w:r>
      <w:r w:rsidR="00885575" w:rsidRPr="00CB373C">
        <w:rPr>
          <w:lang w:eastAsia="en-AU"/>
        </w:rPr>
        <w:t xml:space="preserve">capacity to assist everyone in the lead up to </w:t>
      </w:r>
      <w:r w:rsidR="008C3A8F">
        <w:rPr>
          <w:lang w:eastAsia="en-AU"/>
        </w:rPr>
        <w:t>the deadline.</w:t>
      </w:r>
      <w:r w:rsidR="00885575" w:rsidRPr="00CB373C">
        <w:rPr>
          <w:lang w:eastAsia="en-AU"/>
        </w:rPr>
        <w:t xml:space="preserve"> </w:t>
      </w:r>
    </w:p>
    <w:p w14:paraId="531201B6" w14:textId="7E17BCF3" w:rsidR="008C3A8F" w:rsidRPr="00CB373C" w:rsidRDefault="008C3A8F" w:rsidP="008D50E2">
      <w:pPr>
        <w:pStyle w:val="ListParagraph"/>
        <w:numPr>
          <w:ilvl w:val="0"/>
          <w:numId w:val="9"/>
        </w:numPr>
        <w:spacing w:before="0" w:after="200" w:line="276" w:lineRule="auto"/>
        <w:rPr>
          <w:lang w:eastAsia="en-AU"/>
        </w:rPr>
      </w:pPr>
      <w:r>
        <w:rPr>
          <w:lang w:eastAsia="en-AU"/>
        </w:rPr>
        <w:t xml:space="preserve">The </w:t>
      </w:r>
      <w:r w:rsidRPr="00CB373C">
        <w:rPr>
          <w:lang w:eastAsia="en-AU"/>
        </w:rPr>
        <w:t>current average processing</w:t>
      </w:r>
      <w:r>
        <w:rPr>
          <w:lang w:eastAsia="en-AU"/>
        </w:rPr>
        <w:t xml:space="preserve"> timeframe for registration applications is</w:t>
      </w:r>
      <w:r w:rsidRPr="00CB373C">
        <w:rPr>
          <w:lang w:eastAsia="en-AU"/>
        </w:rPr>
        <w:t xml:space="preserve"> 6 days. </w:t>
      </w:r>
      <w:r>
        <w:rPr>
          <w:lang w:eastAsia="en-AU"/>
        </w:rPr>
        <w:t>Resourcing will be increased d</w:t>
      </w:r>
      <w:r w:rsidRPr="00CB373C">
        <w:rPr>
          <w:lang w:eastAsia="en-AU"/>
        </w:rPr>
        <w:t>uring</w:t>
      </w:r>
      <w:r>
        <w:rPr>
          <w:lang w:eastAsia="en-AU"/>
        </w:rPr>
        <w:t xml:space="preserve"> the </w:t>
      </w:r>
      <w:r w:rsidRPr="00CB373C">
        <w:rPr>
          <w:lang w:eastAsia="en-AU"/>
        </w:rPr>
        <w:t>peak</w:t>
      </w:r>
      <w:r>
        <w:rPr>
          <w:lang w:eastAsia="en-AU"/>
        </w:rPr>
        <w:t xml:space="preserve"> period to ensure </w:t>
      </w:r>
      <w:r w:rsidRPr="00CB373C">
        <w:rPr>
          <w:lang w:eastAsia="en-AU"/>
        </w:rPr>
        <w:t xml:space="preserve">applications </w:t>
      </w:r>
      <w:r>
        <w:rPr>
          <w:lang w:eastAsia="en-AU"/>
        </w:rPr>
        <w:t xml:space="preserve">are processed </w:t>
      </w:r>
      <w:r w:rsidRPr="00CB373C">
        <w:rPr>
          <w:lang w:eastAsia="en-AU"/>
        </w:rPr>
        <w:t xml:space="preserve">as quickly as possible. </w:t>
      </w:r>
      <w:r w:rsidR="00AB78BB">
        <w:rPr>
          <w:lang w:eastAsia="en-AU"/>
        </w:rPr>
        <w:t xml:space="preserve">Given that </w:t>
      </w:r>
      <w:r w:rsidRPr="00CB373C">
        <w:rPr>
          <w:lang w:eastAsia="en-AU"/>
        </w:rPr>
        <w:t xml:space="preserve">30% of </w:t>
      </w:r>
      <w:r>
        <w:rPr>
          <w:lang w:eastAsia="en-AU"/>
        </w:rPr>
        <w:t>applications are submitted in the final week of April</w:t>
      </w:r>
      <w:r w:rsidR="00434F89">
        <w:rPr>
          <w:lang w:eastAsia="en-AU"/>
        </w:rPr>
        <w:t>,</w:t>
      </w:r>
      <w:r>
        <w:rPr>
          <w:lang w:eastAsia="en-AU"/>
        </w:rPr>
        <w:t xml:space="preserve"> processing times </w:t>
      </w:r>
      <w:r w:rsidR="008D50E2">
        <w:rPr>
          <w:lang w:eastAsia="en-AU"/>
        </w:rPr>
        <w:t xml:space="preserve">are likely to </w:t>
      </w:r>
      <w:r>
        <w:rPr>
          <w:lang w:eastAsia="en-AU"/>
        </w:rPr>
        <w:t>be</w:t>
      </w:r>
      <w:r w:rsidRPr="00CB373C">
        <w:rPr>
          <w:lang w:eastAsia="en-AU"/>
        </w:rPr>
        <w:t xml:space="preserve"> extended</w:t>
      </w:r>
      <w:r w:rsidR="008D50E2">
        <w:rPr>
          <w:lang w:eastAsia="en-AU"/>
        </w:rPr>
        <w:t xml:space="preserve"> during the peak period.</w:t>
      </w:r>
    </w:p>
    <w:p w14:paraId="1CCDBB76" w14:textId="1A88935C" w:rsidR="00885575" w:rsidRPr="00CB373C" w:rsidRDefault="00077F9D" w:rsidP="00077F9D">
      <w:pPr>
        <w:rPr>
          <w:lang w:eastAsia="en-AU"/>
        </w:rPr>
      </w:pPr>
      <w:r>
        <w:rPr>
          <w:lang w:eastAsia="en-AU"/>
        </w:rPr>
        <w:t>The following a</w:t>
      </w:r>
      <w:r w:rsidR="008C3A8F">
        <w:rPr>
          <w:lang w:eastAsia="en-AU"/>
        </w:rPr>
        <w:t xml:space="preserve">dvice </w:t>
      </w:r>
      <w:r>
        <w:rPr>
          <w:lang w:eastAsia="en-AU"/>
        </w:rPr>
        <w:t xml:space="preserve">was offered </w:t>
      </w:r>
      <w:r w:rsidR="00434F89">
        <w:rPr>
          <w:lang w:eastAsia="en-AU"/>
        </w:rPr>
        <w:t xml:space="preserve">for </w:t>
      </w:r>
      <w:r w:rsidR="008C3A8F">
        <w:rPr>
          <w:lang w:eastAsia="en-AU"/>
        </w:rPr>
        <w:t>prepar</w:t>
      </w:r>
      <w:r w:rsidR="00434F89">
        <w:rPr>
          <w:lang w:eastAsia="en-AU"/>
        </w:rPr>
        <w:t xml:space="preserve">ing </w:t>
      </w:r>
      <w:r w:rsidR="008C3A8F">
        <w:rPr>
          <w:lang w:eastAsia="en-AU"/>
        </w:rPr>
        <w:t>registration applications:</w:t>
      </w:r>
    </w:p>
    <w:p w14:paraId="1B9D5C96" w14:textId="0489F3B6" w:rsidR="00885575" w:rsidRPr="00CB373C" w:rsidRDefault="008C3A8F" w:rsidP="00037FA3">
      <w:pPr>
        <w:pStyle w:val="ListParagraph"/>
        <w:numPr>
          <w:ilvl w:val="0"/>
          <w:numId w:val="10"/>
        </w:numPr>
        <w:spacing w:before="0" w:after="200" w:line="276" w:lineRule="auto"/>
        <w:rPr>
          <w:lang w:eastAsia="en-AU"/>
        </w:rPr>
      </w:pPr>
      <w:r>
        <w:rPr>
          <w:lang w:eastAsia="en-AU"/>
        </w:rPr>
        <w:t xml:space="preserve">Ensure you select the correct income year when you commence the application as there is no way to amend this later. </w:t>
      </w:r>
      <w:r w:rsidR="008D50E2">
        <w:rPr>
          <w:lang w:eastAsia="en-AU"/>
        </w:rPr>
        <w:t>If you do make an error</w:t>
      </w:r>
      <w:r w:rsidR="006B1D29">
        <w:rPr>
          <w:lang w:eastAsia="en-AU"/>
        </w:rPr>
        <w:t xml:space="preserve"> </w:t>
      </w:r>
      <w:r w:rsidR="00434F89">
        <w:rPr>
          <w:lang w:eastAsia="en-AU"/>
        </w:rPr>
        <w:t>i</w:t>
      </w:r>
      <w:r w:rsidR="006B1D29">
        <w:rPr>
          <w:lang w:eastAsia="en-AU"/>
        </w:rPr>
        <w:t>n the income year</w:t>
      </w:r>
      <w:r w:rsidR="008D50E2">
        <w:rPr>
          <w:lang w:eastAsia="en-AU"/>
        </w:rPr>
        <w:t>, you will need to start a new application.</w:t>
      </w:r>
      <w:r w:rsidR="00885575" w:rsidRPr="00CB373C">
        <w:rPr>
          <w:lang w:eastAsia="en-AU"/>
        </w:rPr>
        <w:t xml:space="preserve"> </w:t>
      </w:r>
    </w:p>
    <w:p w14:paraId="620B90CF" w14:textId="735E984A" w:rsidR="00885575" w:rsidRDefault="00885575" w:rsidP="00390FA0">
      <w:pPr>
        <w:pStyle w:val="ListParagraph"/>
        <w:numPr>
          <w:ilvl w:val="0"/>
          <w:numId w:val="10"/>
        </w:numPr>
        <w:spacing w:before="0" w:after="200" w:line="276" w:lineRule="auto"/>
        <w:rPr>
          <w:lang w:eastAsia="en-AU"/>
        </w:rPr>
      </w:pPr>
      <w:r w:rsidRPr="00CB373C">
        <w:rPr>
          <w:lang w:eastAsia="en-AU"/>
        </w:rPr>
        <w:t>Read the questions in the application form carefully and an</w:t>
      </w:r>
      <w:r w:rsidR="008C3A8F">
        <w:rPr>
          <w:lang w:eastAsia="en-AU"/>
        </w:rPr>
        <w:t>swer all parts to each question</w:t>
      </w:r>
      <w:r w:rsidR="00434F89">
        <w:rPr>
          <w:lang w:eastAsia="en-AU"/>
        </w:rPr>
        <w:t xml:space="preserve">. </w:t>
      </w:r>
      <w:r w:rsidR="00390FA0">
        <w:rPr>
          <w:lang w:eastAsia="en-AU"/>
        </w:rPr>
        <w:t>I</w:t>
      </w:r>
      <w:r w:rsidR="008C3A8F">
        <w:rPr>
          <w:lang w:eastAsia="en-AU"/>
        </w:rPr>
        <w:t>n particular</w:t>
      </w:r>
      <w:r w:rsidR="00390FA0">
        <w:rPr>
          <w:lang w:eastAsia="en-AU"/>
        </w:rPr>
        <w:t>, please not</w:t>
      </w:r>
      <w:r w:rsidR="00123DAE">
        <w:rPr>
          <w:lang w:eastAsia="en-AU"/>
        </w:rPr>
        <w:t>e</w:t>
      </w:r>
      <w:r w:rsidR="00390FA0">
        <w:rPr>
          <w:lang w:eastAsia="en-AU"/>
        </w:rPr>
        <w:t xml:space="preserve"> that</w:t>
      </w:r>
      <w:r w:rsidR="008C3A8F">
        <w:rPr>
          <w:lang w:eastAsia="en-AU"/>
        </w:rPr>
        <w:t xml:space="preserve"> there are two parts to the unknown outcome question. </w:t>
      </w:r>
      <w:r w:rsidR="00390FA0">
        <w:rPr>
          <w:lang w:eastAsia="en-AU"/>
        </w:rPr>
        <w:t xml:space="preserve">In addition, </w:t>
      </w:r>
      <w:r w:rsidR="00123DAE">
        <w:rPr>
          <w:lang w:eastAsia="en-AU"/>
        </w:rPr>
        <w:t>you</w:t>
      </w:r>
      <w:r w:rsidR="00390FA0">
        <w:rPr>
          <w:lang w:eastAsia="en-AU"/>
        </w:rPr>
        <w:t xml:space="preserve"> need to</w:t>
      </w:r>
      <w:r w:rsidRPr="00CB373C">
        <w:rPr>
          <w:lang w:eastAsia="en-AU"/>
        </w:rPr>
        <w:t xml:space="preserve"> state your hypothesis in terms of the unknown outcome</w:t>
      </w:r>
      <w:r w:rsidR="00390FA0">
        <w:rPr>
          <w:lang w:eastAsia="en-AU"/>
        </w:rPr>
        <w:t xml:space="preserve"> described</w:t>
      </w:r>
      <w:r w:rsidRPr="00CB373C">
        <w:rPr>
          <w:lang w:eastAsia="en-AU"/>
        </w:rPr>
        <w:t>.</w:t>
      </w:r>
    </w:p>
    <w:p w14:paraId="7915F4B7" w14:textId="5431D62A" w:rsidR="00E1716E" w:rsidRDefault="00123DAE" w:rsidP="00123DAE">
      <w:pPr>
        <w:pStyle w:val="Heading4"/>
        <w:rPr>
          <w:lang w:eastAsia="en-AU"/>
        </w:rPr>
      </w:pPr>
      <w:r>
        <w:rPr>
          <w:lang w:eastAsia="en-AU"/>
        </w:rPr>
        <w:t xml:space="preserve">30 June Deadline </w:t>
      </w:r>
    </w:p>
    <w:p w14:paraId="34A841F4" w14:textId="3F636114" w:rsidR="008C3A8F" w:rsidRDefault="00E1716E" w:rsidP="00E1716E">
      <w:pPr>
        <w:pStyle w:val="ListParagraph"/>
        <w:numPr>
          <w:ilvl w:val="0"/>
          <w:numId w:val="11"/>
        </w:numPr>
        <w:spacing w:before="0" w:after="200" w:line="240" w:lineRule="auto"/>
        <w:rPr>
          <w:lang w:eastAsia="en-AU"/>
        </w:rPr>
      </w:pPr>
      <w:r>
        <w:rPr>
          <w:lang w:eastAsia="en-AU"/>
        </w:rPr>
        <w:t>Due to r</w:t>
      </w:r>
      <w:r w:rsidR="008C3A8F">
        <w:rPr>
          <w:lang w:eastAsia="en-AU"/>
        </w:rPr>
        <w:t xml:space="preserve">ecent </w:t>
      </w:r>
      <w:r>
        <w:rPr>
          <w:lang w:eastAsia="en-AU"/>
        </w:rPr>
        <w:t>process improvements,</w:t>
      </w:r>
      <w:r w:rsidR="00872B9B">
        <w:rPr>
          <w:lang w:eastAsia="en-AU"/>
        </w:rPr>
        <w:t xml:space="preserve"> most A</w:t>
      </w:r>
      <w:r w:rsidR="008C3A8F">
        <w:rPr>
          <w:lang w:eastAsia="en-AU"/>
        </w:rPr>
        <w:t xml:space="preserve">dvance and </w:t>
      </w:r>
      <w:r w:rsidR="00872B9B">
        <w:rPr>
          <w:lang w:eastAsia="en-AU"/>
        </w:rPr>
        <w:t>Overseas F</w:t>
      </w:r>
      <w:r w:rsidR="008C3A8F">
        <w:rPr>
          <w:lang w:eastAsia="en-AU"/>
        </w:rPr>
        <w:t>inding</w:t>
      </w:r>
      <w:r w:rsidR="008137A2">
        <w:rPr>
          <w:lang w:eastAsia="en-AU"/>
        </w:rPr>
        <w:t xml:space="preserve"> (AOF)</w:t>
      </w:r>
      <w:r w:rsidR="008C3A8F">
        <w:rPr>
          <w:lang w:eastAsia="en-AU"/>
        </w:rPr>
        <w:t xml:space="preserve"> applications are processed in 100 days or less.</w:t>
      </w:r>
    </w:p>
    <w:p w14:paraId="11054C97" w14:textId="353EEF3D" w:rsidR="00390FA0" w:rsidRDefault="008C3A8F" w:rsidP="00B5470D">
      <w:pPr>
        <w:pStyle w:val="ListParagraph"/>
        <w:numPr>
          <w:ilvl w:val="0"/>
          <w:numId w:val="11"/>
        </w:numPr>
        <w:spacing w:before="0" w:after="200" w:line="240" w:lineRule="auto"/>
        <w:rPr>
          <w:lang w:eastAsia="en-AU"/>
        </w:rPr>
      </w:pPr>
      <w:r>
        <w:rPr>
          <w:lang w:eastAsia="en-AU"/>
        </w:rPr>
        <w:t xml:space="preserve">The peak submission </w:t>
      </w:r>
      <w:r w:rsidR="008137A2">
        <w:rPr>
          <w:lang w:eastAsia="en-AU"/>
        </w:rPr>
        <w:t xml:space="preserve">for AOFs </w:t>
      </w:r>
      <w:r w:rsidR="00390FA0">
        <w:rPr>
          <w:lang w:eastAsia="en-AU"/>
        </w:rPr>
        <w:t xml:space="preserve">occurs around the </w:t>
      </w:r>
      <w:r w:rsidR="008137A2">
        <w:rPr>
          <w:lang w:eastAsia="en-AU"/>
        </w:rPr>
        <w:t>30 June</w:t>
      </w:r>
      <w:r w:rsidR="00390FA0">
        <w:rPr>
          <w:lang w:eastAsia="en-AU"/>
        </w:rPr>
        <w:t xml:space="preserve"> deadline. This impacts our</w:t>
      </w:r>
      <w:r w:rsidR="008137A2">
        <w:rPr>
          <w:lang w:eastAsia="en-AU"/>
        </w:rPr>
        <w:t xml:space="preserve"> workflow</w:t>
      </w:r>
      <w:r w:rsidR="00390FA0">
        <w:rPr>
          <w:lang w:eastAsia="en-AU"/>
        </w:rPr>
        <w:t>s</w:t>
      </w:r>
      <w:r w:rsidR="008137A2">
        <w:rPr>
          <w:lang w:eastAsia="en-AU"/>
        </w:rPr>
        <w:t xml:space="preserve"> </w:t>
      </w:r>
      <w:r w:rsidR="00390FA0">
        <w:rPr>
          <w:lang w:eastAsia="en-AU"/>
        </w:rPr>
        <w:t xml:space="preserve">and creates </w:t>
      </w:r>
      <w:r w:rsidR="008137A2">
        <w:rPr>
          <w:lang w:eastAsia="en-AU"/>
        </w:rPr>
        <w:t xml:space="preserve">an annual cycle similar to registration applications. Any AOFs submitted in the peak </w:t>
      </w:r>
      <w:r w:rsidR="00390FA0">
        <w:rPr>
          <w:lang w:eastAsia="en-AU"/>
        </w:rPr>
        <w:t xml:space="preserve">period </w:t>
      </w:r>
      <w:r w:rsidR="008137A2">
        <w:rPr>
          <w:lang w:eastAsia="en-AU"/>
        </w:rPr>
        <w:t>may experience longer processing times.</w:t>
      </w:r>
    </w:p>
    <w:p w14:paraId="19D025CF" w14:textId="4944D992" w:rsidR="008C3A8F" w:rsidRPr="00CB373C" w:rsidRDefault="00390FA0" w:rsidP="00B5470D">
      <w:pPr>
        <w:pStyle w:val="ListParagraph"/>
        <w:numPr>
          <w:ilvl w:val="0"/>
          <w:numId w:val="11"/>
        </w:numPr>
        <w:spacing w:before="0" w:after="200" w:line="240" w:lineRule="auto"/>
        <w:rPr>
          <w:lang w:eastAsia="en-AU"/>
        </w:rPr>
      </w:pPr>
      <w:r>
        <w:rPr>
          <w:lang w:eastAsia="en-AU"/>
        </w:rPr>
        <w:t>T</w:t>
      </w:r>
      <w:r w:rsidR="008C3A8F">
        <w:rPr>
          <w:lang w:eastAsia="en-AU"/>
        </w:rPr>
        <w:t xml:space="preserve">o </w:t>
      </w:r>
      <w:r>
        <w:rPr>
          <w:lang w:eastAsia="en-AU"/>
        </w:rPr>
        <w:t xml:space="preserve">assist us with more </w:t>
      </w:r>
      <w:r w:rsidR="008C3A8F">
        <w:rPr>
          <w:lang w:eastAsia="en-AU"/>
        </w:rPr>
        <w:t>rapid assessment</w:t>
      </w:r>
      <w:r>
        <w:rPr>
          <w:lang w:eastAsia="en-AU"/>
        </w:rPr>
        <w:t xml:space="preserve"> applicants can</w:t>
      </w:r>
      <w:r w:rsidR="008C3A8F">
        <w:rPr>
          <w:lang w:eastAsia="en-AU"/>
        </w:rPr>
        <w:t>:</w:t>
      </w:r>
    </w:p>
    <w:p w14:paraId="295C4980" w14:textId="6892F2F2" w:rsidR="008C3A8F" w:rsidRPr="00CB373C" w:rsidRDefault="008C3A8F" w:rsidP="00E1716E">
      <w:pPr>
        <w:pStyle w:val="ListParagraph"/>
        <w:numPr>
          <w:ilvl w:val="1"/>
          <w:numId w:val="8"/>
        </w:numPr>
        <w:spacing w:before="0" w:after="200" w:line="276" w:lineRule="auto"/>
        <w:rPr>
          <w:lang w:eastAsia="en-AU"/>
        </w:rPr>
      </w:pPr>
      <w:r w:rsidRPr="00CB373C">
        <w:rPr>
          <w:lang w:eastAsia="en-AU"/>
        </w:rPr>
        <w:t xml:space="preserve">Provide sufficient information in </w:t>
      </w:r>
      <w:r w:rsidR="00390FA0">
        <w:rPr>
          <w:lang w:eastAsia="en-AU"/>
        </w:rPr>
        <w:t xml:space="preserve">their </w:t>
      </w:r>
      <w:r w:rsidRPr="00CB373C">
        <w:rPr>
          <w:lang w:eastAsia="en-AU"/>
        </w:rPr>
        <w:t xml:space="preserve">submission, </w:t>
      </w:r>
      <w:r>
        <w:rPr>
          <w:lang w:eastAsia="en-AU"/>
        </w:rPr>
        <w:t xml:space="preserve">including samples of the evidence </w:t>
      </w:r>
      <w:r w:rsidR="00390FA0">
        <w:rPr>
          <w:lang w:eastAsia="en-AU"/>
        </w:rPr>
        <w:t xml:space="preserve">that you that relates to </w:t>
      </w:r>
      <w:r>
        <w:rPr>
          <w:lang w:eastAsia="en-AU"/>
        </w:rPr>
        <w:t>your R&amp;D</w:t>
      </w:r>
      <w:r w:rsidRPr="00CB373C">
        <w:rPr>
          <w:lang w:eastAsia="en-AU"/>
        </w:rPr>
        <w:t xml:space="preserve"> </w:t>
      </w:r>
      <w:r w:rsidR="00390FA0">
        <w:rPr>
          <w:lang w:eastAsia="en-AU"/>
        </w:rPr>
        <w:t xml:space="preserve">as </w:t>
      </w:r>
      <w:r w:rsidRPr="00CB373C">
        <w:rPr>
          <w:lang w:eastAsia="en-AU"/>
        </w:rPr>
        <w:t>attachments</w:t>
      </w:r>
    </w:p>
    <w:p w14:paraId="547C7270" w14:textId="17037709" w:rsidR="008C3A8F" w:rsidRDefault="008C3A8F" w:rsidP="00E1716E">
      <w:pPr>
        <w:pStyle w:val="ListParagraph"/>
        <w:numPr>
          <w:ilvl w:val="1"/>
          <w:numId w:val="8"/>
        </w:numPr>
        <w:spacing w:before="0" w:after="200" w:line="276" w:lineRule="auto"/>
        <w:rPr>
          <w:lang w:eastAsia="en-AU"/>
        </w:rPr>
      </w:pPr>
      <w:r>
        <w:rPr>
          <w:lang w:eastAsia="en-AU"/>
        </w:rPr>
        <w:t>Respond to any request for information (RFI)</w:t>
      </w:r>
      <w:r w:rsidRPr="00CB373C">
        <w:rPr>
          <w:lang w:eastAsia="en-AU"/>
        </w:rPr>
        <w:t xml:space="preserve"> in a timely manner</w:t>
      </w:r>
      <w:r w:rsidR="00390FA0">
        <w:rPr>
          <w:lang w:eastAsia="en-AU"/>
        </w:rPr>
        <w:t xml:space="preserve"> as a case cannot be finalised until a response is received</w:t>
      </w:r>
    </w:p>
    <w:p w14:paraId="5A367790" w14:textId="3BAB4256" w:rsidR="008C3A8F" w:rsidRDefault="00F30979" w:rsidP="00E1716E">
      <w:pPr>
        <w:pStyle w:val="ListParagraph"/>
        <w:numPr>
          <w:ilvl w:val="1"/>
          <w:numId w:val="8"/>
        </w:numPr>
        <w:spacing w:before="0" w:after="200" w:line="276" w:lineRule="auto"/>
        <w:rPr>
          <w:lang w:eastAsia="en-AU"/>
        </w:rPr>
      </w:pPr>
      <w:r>
        <w:rPr>
          <w:lang w:eastAsia="en-AU"/>
        </w:rPr>
        <w:t>If required, c</w:t>
      </w:r>
      <w:r w:rsidR="00390FA0">
        <w:rPr>
          <w:lang w:eastAsia="en-AU"/>
        </w:rPr>
        <w:t xml:space="preserve">ontact us </w:t>
      </w:r>
      <w:r>
        <w:rPr>
          <w:lang w:eastAsia="en-AU"/>
        </w:rPr>
        <w:t>for</w:t>
      </w:r>
      <w:r w:rsidR="00390FA0">
        <w:rPr>
          <w:lang w:eastAsia="en-AU"/>
        </w:rPr>
        <w:t xml:space="preserve"> </w:t>
      </w:r>
      <w:r w:rsidR="008C3A8F">
        <w:rPr>
          <w:lang w:eastAsia="en-AU"/>
        </w:rPr>
        <w:t xml:space="preserve">clarification </w:t>
      </w:r>
      <w:r w:rsidR="00390FA0">
        <w:rPr>
          <w:lang w:eastAsia="en-AU"/>
        </w:rPr>
        <w:t>on our guidance or information requests</w:t>
      </w:r>
      <w:r>
        <w:rPr>
          <w:lang w:eastAsia="en-AU"/>
        </w:rPr>
        <w:t>.</w:t>
      </w:r>
      <w:r w:rsidR="00390FA0">
        <w:rPr>
          <w:lang w:eastAsia="en-AU"/>
        </w:rPr>
        <w:t>. The Case Manager’s details will be available on any correspondence we send to you.</w:t>
      </w:r>
    </w:p>
    <w:p w14:paraId="197FA9B3" w14:textId="3903A8A9" w:rsidR="00A71DAB" w:rsidRDefault="007B766B" w:rsidP="00B5470D">
      <w:pPr>
        <w:pStyle w:val="Heading3"/>
        <w:rPr>
          <w:lang w:eastAsia="en-AU"/>
        </w:rPr>
      </w:pPr>
      <w:r>
        <w:rPr>
          <w:lang w:eastAsia="en-AU"/>
        </w:rPr>
        <w:t xml:space="preserve">3.3 </w:t>
      </w:r>
      <w:r w:rsidR="00A71DAB">
        <w:rPr>
          <w:lang w:eastAsia="en-AU"/>
        </w:rPr>
        <w:t>Legislative Update (Kelley Wiggins/Lyndall Mil</w:t>
      </w:r>
      <w:r>
        <w:rPr>
          <w:lang w:eastAsia="en-AU"/>
        </w:rPr>
        <w:t>w</w:t>
      </w:r>
      <w:r w:rsidR="00A71DAB">
        <w:rPr>
          <w:lang w:eastAsia="en-AU"/>
        </w:rPr>
        <w:t>ard-Bason)</w:t>
      </w:r>
    </w:p>
    <w:p w14:paraId="57135071" w14:textId="4F5CA8FD" w:rsidR="008137A2" w:rsidRPr="008137A2" w:rsidRDefault="00A71DAB" w:rsidP="00E1716E">
      <w:pPr>
        <w:pStyle w:val="ListParagraph"/>
        <w:numPr>
          <w:ilvl w:val="0"/>
          <w:numId w:val="25"/>
        </w:numPr>
      </w:pPr>
      <w:r>
        <w:t>T</w:t>
      </w:r>
      <w:r w:rsidR="008137A2" w:rsidRPr="008137A2">
        <w:t>he legislative changes</w:t>
      </w:r>
      <w:r w:rsidR="000545C6">
        <w:t xml:space="preserve"> </w:t>
      </w:r>
      <w:r w:rsidR="008137A2" w:rsidRPr="008137A2">
        <w:t xml:space="preserve">foreshadowed </w:t>
      </w:r>
      <w:r>
        <w:t xml:space="preserve">in the program update document </w:t>
      </w:r>
      <w:r w:rsidR="00E1716E">
        <w:t xml:space="preserve">have progressed. </w:t>
      </w:r>
      <w:r w:rsidR="008137A2" w:rsidRPr="008137A2">
        <w:t xml:space="preserve">The </w:t>
      </w:r>
      <w:r w:rsidR="008137A2" w:rsidRPr="00E1716E">
        <w:rPr>
          <w:i/>
        </w:rPr>
        <w:t>Industry Research and Development Regulations 2022</w:t>
      </w:r>
      <w:r w:rsidR="008137A2" w:rsidRPr="008137A2">
        <w:t xml:space="preserve"> were registered on the Federal Register of Legislation and commenced 22 March 2022.</w:t>
      </w:r>
      <w:r>
        <w:t xml:space="preserve"> </w:t>
      </w:r>
      <w:r w:rsidR="008137A2" w:rsidRPr="008137A2">
        <w:t xml:space="preserve">The </w:t>
      </w:r>
      <w:r w:rsidR="008137A2" w:rsidRPr="00E1716E">
        <w:rPr>
          <w:i/>
        </w:rPr>
        <w:t>Industry Research and Development Decision-making Principles 2022</w:t>
      </w:r>
      <w:r w:rsidR="008137A2" w:rsidRPr="008137A2">
        <w:t xml:space="preserve"> </w:t>
      </w:r>
      <w:r w:rsidR="008137A2">
        <w:t xml:space="preserve">will be registered by the end of March. </w:t>
      </w:r>
    </w:p>
    <w:p w14:paraId="3205A511" w14:textId="77777777" w:rsidR="00A71DAB" w:rsidRDefault="00A71DAB" w:rsidP="00B5470D">
      <w:pPr>
        <w:pStyle w:val="ListParagraph"/>
        <w:numPr>
          <w:ilvl w:val="0"/>
          <w:numId w:val="21"/>
        </w:numPr>
      </w:pPr>
      <w:r>
        <w:t>Key changes include:</w:t>
      </w:r>
    </w:p>
    <w:p w14:paraId="1B01EEC5" w14:textId="4CAB5458" w:rsidR="008137A2" w:rsidRPr="008137A2" w:rsidRDefault="008137A2" w:rsidP="00E1716E">
      <w:pPr>
        <w:pStyle w:val="ListParagraph"/>
        <w:numPr>
          <w:ilvl w:val="1"/>
          <w:numId w:val="8"/>
        </w:numPr>
        <w:spacing w:before="0" w:after="200" w:line="276" w:lineRule="auto"/>
        <w:rPr>
          <w:lang w:eastAsia="en-AU"/>
        </w:rPr>
      </w:pPr>
      <w:r>
        <w:rPr>
          <w:lang w:eastAsia="en-AU"/>
        </w:rPr>
        <w:t>Extension of time requests</w:t>
      </w:r>
      <w:r w:rsidRPr="008137A2">
        <w:rPr>
          <w:lang w:eastAsia="en-AU"/>
        </w:rPr>
        <w:t xml:space="preserve"> will change from 90 to 92 days so that a 3 month extension will equate to the same number of days regardless of the month of application</w:t>
      </w:r>
      <w:r w:rsidR="000545C6">
        <w:rPr>
          <w:lang w:eastAsia="en-AU"/>
        </w:rPr>
        <w:t>.</w:t>
      </w:r>
    </w:p>
    <w:p w14:paraId="7B78A5C0" w14:textId="4774778B" w:rsidR="008137A2" w:rsidRDefault="000545C6" w:rsidP="00E1716E">
      <w:pPr>
        <w:pStyle w:val="ListParagraph"/>
        <w:numPr>
          <w:ilvl w:val="1"/>
          <w:numId w:val="8"/>
        </w:numPr>
        <w:spacing w:before="0" w:after="200" w:line="276" w:lineRule="auto"/>
        <w:rPr>
          <w:lang w:eastAsia="en-AU"/>
        </w:rPr>
      </w:pPr>
      <w:r>
        <w:rPr>
          <w:lang w:eastAsia="en-AU"/>
        </w:rPr>
        <w:t>R</w:t>
      </w:r>
      <w:r w:rsidR="008137A2" w:rsidRPr="008137A2">
        <w:rPr>
          <w:lang w:eastAsia="en-AU"/>
        </w:rPr>
        <w:t>esearch cl</w:t>
      </w:r>
      <w:r>
        <w:rPr>
          <w:lang w:eastAsia="en-AU"/>
        </w:rPr>
        <w:t xml:space="preserve">assification fields used in </w:t>
      </w:r>
      <w:r w:rsidR="008137A2" w:rsidRPr="008137A2">
        <w:rPr>
          <w:lang w:eastAsia="en-AU"/>
        </w:rPr>
        <w:t xml:space="preserve">various application forms </w:t>
      </w:r>
      <w:r>
        <w:rPr>
          <w:lang w:eastAsia="en-AU"/>
        </w:rPr>
        <w:t xml:space="preserve">will </w:t>
      </w:r>
      <w:r w:rsidR="008137A2" w:rsidRPr="008137A2">
        <w:rPr>
          <w:lang w:eastAsia="en-AU"/>
        </w:rPr>
        <w:t>transition from the ANZSRC 2008 to the latest version</w:t>
      </w:r>
      <w:r w:rsidR="007E3A22">
        <w:rPr>
          <w:lang w:eastAsia="en-AU"/>
        </w:rPr>
        <w:t xml:space="preserve"> in</w:t>
      </w:r>
      <w:r w:rsidR="008137A2" w:rsidRPr="008137A2">
        <w:rPr>
          <w:lang w:eastAsia="en-AU"/>
        </w:rPr>
        <w:t xml:space="preserve"> ANZSRC 2020.</w:t>
      </w:r>
      <w:r>
        <w:rPr>
          <w:lang w:eastAsia="en-AU"/>
        </w:rPr>
        <w:t xml:space="preserve"> ANZSRC (</w:t>
      </w:r>
      <w:r w:rsidR="008137A2" w:rsidRPr="008137A2">
        <w:rPr>
          <w:lang w:eastAsia="en-AU"/>
        </w:rPr>
        <w:t>Australian and New Zealand Standard Research Classification</w:t>
      </w:r>
      <w:r>
        <w:rPr>
          <w:lang w:eastAsia="en-AU"/>
        </w:rPr>
        <w:t>)</w:t>
      </w:r>
      <w:r w:rsidR="008137A2" w:rsidRPr="008137A2">
        <w:rPr>
          <w:lang w:eastAsia="en-AU"/>
        </w:rPr>
        <w:t xml:space="preserve"> is a statistical classification used for measuring and analysing R&amp;D. </w:t>
      </w:r>
      <w:r>
        <w:rPr>
          <w:lang w:eastAsia="en-AU"/>
        </w:rPr>
        <w:t xml:space="preserve">This update will be applied to </w:t>
      </w:r>
      <w:r w:rsidR="007E3A22" w:rsidRPr="007E3A22">
        <w:rPr>
          <w:lang w:eastAsia="en-AU"/>
        </w:rPr>
        <w:t xml:space="preserve">Research Service Provider (RSP) </w:t>
      </w:r>
      <w:r w:rsidR="007E3A22">
        <w:rPr>
          <w:lang w:eastAsia="en-AU"/>
        </w:rPr>
        <w:t xml:space="preserve">renewal applications from 1 May 2022, </w:t>
      </w:r>
      <w:r w:rsidR="008137A2" w:rsidRPr="008137A2">
        <w:rPr>
          <w:lang w:eastAsia="en-AU"/>
        </w:rPr>
        <w:t xml:space="preserve">AOF applications lodged for 2021/22 </w:t>
      </w:r>
      <w:r>
        <w:rPr>
          <w:lang w:eastAsia="en-AU"/>
        </w:rPr>
        <w:t>from</w:t>
      </w:r>
      <w:r w:rsidR="008137A2" w:rsidRPr="008137A2">
        <w:rPr>
          <w:lang w:eastAsia="en-AU"/>
        </w:rPr>
        <w:t xml:space="preserve"> 30 June 2022</w:t>
      </w:r>
      <w:r>
        <w:rPr>
          <w:lang w:eastAsia="en-AU"/>
        </w:rPr>
        <w:t xml:space="preserve"> and </w:t>
      </w:r>
      <w:r w:rsidR="007E3A22">
        <w:rPr>
          <w:lang w:eastAsia="en-AU"/>
        </w:rPr>
        <w:t xml:space="preserve">is </w:t>
      </w:r>
      <w:r w:rsidR="00A71DAB">
        <w:rPr>
          <w:lang w:eastAsia="en-AU"/>
        </w:rPr>
        <w:t xml:space="preserve">expected </w:t>
      </w:r>
      <w:r>
        <w:rPr>
          <w:lang w:eastAsia="en-AU"/>
        </w:rPr>
        <w:t xml:space="preserve">to </w:t>
      </w:r>
      <w:r w:rsidR="00A71DAB">
        <w:rPr>
          <w:lang w:eastAsia="en-AU"/>
        </w:rPr>
        <w:t xml:space="preserve">be applied to </w:t>
      </w:r>
      <w:r>
        <w:rPr>
          <w:lang w:eastAsia="en-AU"/>
        </w:rPr>
        <w:t>all registration application from 1 July 2022.</w:t>
      </w:r>
    </w:p>
    <w:p w14:paraId="5C0632A4" w14:textId="2FD0E374" w:rsidR="00827477" w:rsidRDefault="007B766B" w:rsidP="00B5470D">
      <w:pPr>
        <w:pStyle w:val="Heading3"/>
        <w:rPr>
          <w:lang w:eastAsia="en-AU"/>
        </w:rPr>
      </w:pPr>
      <w:r>
        <w:rPr>
          <w:lang w:eastAsia="en-AU"/>
        </w:rPr>
        <w:t xml:space="preserve">3.4 </w:t>
      </w:r>
      <w:r w:rsidR="00A71DAB">
        <w:rPr>
          <w:lang w:eastAsia="en-AU"/>
        </w:rPr>
        <w:t>Research Service Providers (</w:t>
      </w:r>
      <w:r w:rsidR="00827477">
        <w:rPr>
          <w:lang w:eastAsia="en-AU"/>
        </w:rPr>
        <w:t>Kelley Wiggins</w:t>
      </w:r>
      <w:r w:rsidR="00E1716E">
        <w:rPr>
          <w:lang w:eastAsia="en-AU"/>
        </w:rPr>
        <w:t>)</w:t>
      </w:r>
    </w:p>
    <w:p w14:paraId="0CCC8FDC" w14:textId="53B653EF" w:rsidR="000545C6" w:rsidRDefault="000545C6" w:rsidP="00037FA3">
      <w:pPr>
        <w:pStyle w:val="ListParagraph"/>
        <w:numPr>
          <w:ilvl w:val="0"/>
          <w:numId w:val="8"/>
        </w:numPr>
        <w:spacing w:before="0" w:after="200" w:line="276" w:lineRule="auto"/>
        <w:rPr>
          <w:lang w:eastAsia="en-AU"/>
        </w:rPr>
      </w:pPr>
      <w:r w:rsidRPr="007859DF">
        <w:rPr>
          <w:lang w:eastAsia="en-AU"/>
        </w:rPr>
        <w:t xml:space="preserve">Research Service Provider (RSP) </w:t>
      </w:r>
      <w:r>
        <w:rPr>
          <w:lang w:eastAsia="en-AU"/>
        </w:rPr>
        <w:t xml:space="preserve">renewals for the </w:t>
      </w:r>
      <w:r w:rsidRPr="007859DF">
        <w:rPr>
          <w:lang w:eastAsia="en-AU"/>
        </w:rPr>
        <w:t xml:space="preserve">2022/23 financial year must </w:t>
      </w:r>
      <w:r w:rsidR="007E3A22">
        <w:rPr>
          <w:lang w:eastAsia="en-AU"/>
        </w:rPr>
        <w:t xml:space="preserve">utilise the </w:t>
      </w:r>
      <w:r w:rsidRPr="007859DF">
        <w:rPr>
          <w:lang w:eastAsia="en-AU"/>
        </w:rPr>
        <w:t xml:space="preserve">updated </w:t>
      </w:r>
      <w:r w:rsidR="007E3A22">
        <w:rPr>
          <w:lang w:eastAsia="en-AU"/>
        </w:rPr>
        <w:t xml:space="preserve">field of research codes included in </w:t>
      </w:r>
      <w:r w:rsidRPr="007859DF">
        <w:rPr>
          <w:lang w:eastAsia="en-AU"/>
        </w:rPr>
        <w:t xml:space="preserve">ANSZRC </w:t>
      </w:r>
      <w:r>
        <w:rPr>
          <w:lang w:eastAsia="en-AU"/>
        </w:rPr>
        <w:t>2020 f</w:t>
      </w:r>
      <w:r w:rsidR="007E3A22">
        <w:rPr>
          <w:lang w:eastAsia="en-AU"/>
        </w:rPr>
        <w:t>or the next application period which commences on 1</w:t>
      </w:r>
      <w:r>
        <w:rPr>
          <w:lang w:eastAsia="en-AU"/>
        </w:rPr>
        <w:t xml:space="preserve"> May 2022.</w:t>
      </w:r>
    </w:p>
    <w:p w14:paraId="1EB7AF55" w14:textId="32352921" w:rsidR="000545C6" w:rsidRDefault="000545C6" w:rsidP="00E1716E">
      <w:pPr>
        <w:pStyle w:val="ListParagraph"/>
        <w:numPr>
          <w:ilvl w:val="1"/>
          <w:numId w:val="8"/>
        </w:numPr>
        <w:spacing w:before="0" w:after="200" w:line="276" w:lineRule="auto"/>
        <w:rPr>
          <w:lang w:eastAsia="en-AU"/>
        </w:rPr>
      </w:pPr>
      <w:r>
        <w:rPr>
          <w:lang w:eastAsia="en-AU"/>
        </w:rPr>
        <w:lastRenderedPageBreak/>
        <w:t xml:space="preserve">RSPs will </w:t>
      </w:r>
      <w:r w:rsidR="007E3A22">
        <w:rPr>
          <w:lang w:eastAsia="en-AU"/>
        </w:rPr>
        <w:t xml:space="preserve">need to </w:t>
      </w:r>
      <w:r w:rsidRPr="007859DF">
        <w:rPr>
          <w:lang w:eastAsia="en-AU"/>
        </w:rPr>
        <w:t xml:space="preserve">review the field of research codes used in </w:t>
      </w:r>
      <w:r>
        <w:rPr>
          <w:lang w:eastAsia="en-AU"/>
        </w:rPr>
        <w:t>the</w:t>
      </w:r>
      <w:r w:rsidR="007E3A22">
        <w:rPr>
          <w:lang w:eastAsia="en-AU"/>
        </w:rPr>
        <w:t>ir</w:t>
      </w:r>
      <w:r w:rsidRPr="007859DF">
        <w:rPr>
          <w:lang w:eastAsia="en-AU"/>
        </w:rPr>
        <w:t xml:space="preserve"> current registration and determine the corresponding new code that applies.</w:t>
      </w:r>
    </w:p>
    <w:p w14:paraId="55DA0875" w14:textId="77777777" w:rsidR="000545C6" w:rsidRDefault="000545C6" w:rsidP="00E1716E">
      <w:pPr>
        <w:pStyle w:val="ListParagraph"/>
        <w:numPr>
          <w:ilvl w:val="1"/>
          <w:numId w:val="8"/>
        </w:numPr>
        <w:spacing w:before="0" w:after="200" w:line="276" w:lineRule="auto"/>
        <w:rPr>
          <w:lang w:eastAsia="en-AU"/>
        </w:rPr>
      </w:pPr>
      <w:r w:rsidRPr="007859DF">
        <w:rPr>
          <w:lang w:eastAsia="en-AU"/>
        </w:rPr>
        <w:t>Only the ANZSRC 2020 codes and descriptions</w:t>
      </w:r>
      <w:r>
        <w:rPr>
          <w:lang w:eastAsia="en-AU"/>
        </w:rPr>
        <w:t xml:space="preserve"> can be used for </w:t>
      </w:r>
      <w:r w:rsidRPr="007859DF">
        <w:rPr>
          <w:lang w:eastAsia="en-AU"/>
        </w:rPr>
        <w:t>upcoming renewal application</w:t>
      </w:r>
      <w:r>
        <w:rPr>
          <w:lang w:eastAsia="en-AU"/>
        </w:rPr>
        <w:t>s</w:t>
      </w:r>
      <w:r w:rsidRPr="007859DF">
        <w:rPr>
          <w:lang w:eastAsia="en-AU"/>
        </w:rPr>
        <w:t>.</w:t>
      </w:r>
    </w:p>
    <w:p w14:paraId="7EB5CB5C" w14:textId="60C0D079" w:rsidR="000545C6" w:rsidRPr="00933B64" w:rsidRDefault="000545C6" w:rsidP="00E1716E">
      <w:pPr>
        <w:pStyle w:val="ListParagraph"/>
        <w:numPr>
          <w:ilvl w:val="1"/>
          <w:numId w:val="8"/>
        </w:numPr>
        <w:spacing w:before="0" w:after="200" w:line="276" w:lineRule="auto"/>
        <w:rPr>
          <w:lang w:eastAsia="en-AU"/>
        </w:rPr>
      </w:pPr>
      <w:r w:rsidRPr="00933B64">
        <w:rPr>
          <w:lang w:eastAsia="en-AU"/>
        </w:rPr>
        <w:t>The ABS website provides guidance and downloadable tables called data cubes for the revised ANZSRC 2020 codes.</w:t>
      </w:r>
      <w:r w:rsidR="007E3A22">
        <w:rPr>
          <w:lang w:eastAsia="en-AU"/>
        </w:rPr>
        <w:t xml:space="preserve"> </w:t>
      </w:r>
      <w:r w:rsidRPr="00933B64">
        <w:rPr>
          <w:lang w:eastAsia="en-AU"/>
        </w:rPr>
        <w:t xml:space="preserve">A correspondence table for ANZSRC 2008 </w:t>
      </w:r>
      <w:r w:rsidR="007E3A22">
        <w:rPr>
          <w:lang w:eastAsia="en-AU"/>
        </w:rPr>
        <w:t>to</w:t>
      </w:r>
      <w:r w:rsidRPr="00933B64">
        <w:rPr>
          <w:lang w:eastAsia="en-AU"/>
        </w:rPr>
        <w:t xml:space="preserve"> ANZSRC 2020 is also available on the ABS website.</w:t>
      </w:r>
    </w:p>
    <w:p w14:paraId="7F594FE3" w14:textId="77777777" w:rsidR="00827477" w:rsidRDefault="000545C6" w:rsidP="00E1716E">
      <w:pPr>
        <w:pStyle w:val="ListParagraph"/>
        <w:numPr>
          <w:ilvl w:val="1"/>
          <w:numId w:val="8"/>
        </w:numPr>
        <w:spacing w:before="0" w:after="200" w:line="276" w:lineRule="auto"/>
        <w:rPr>
          <w:lang w:eastAsia="en-AU"/>
        </w:rPr>
      </w:pPr>
      <w:r>
        <w:rPr>
          <w:lang w:eastAsia="en-AU"/>
        </w:rPr>
        <w:t>There</w:t>
      </w:r>
      <w:r w:rsidRPr="00933B64">
        <w:rPr>
          <w:lang w:eastAsia="en-AU"/>
        </w:rPr>
        <w:t xml:space="preserve"> are three classifications for ANZSRC - Type of Activity (ToR); Field of Research (FoR); and Socio-economic Objectives (SEO).</w:t>
      </w:r>
      <w:r>
        <w:rPr>
          <w:lang w:eastAsia="en-AU"/>
        </w:rPr>
        <w:t xml:space="preserve"> RSPs need to review the </w:t>
      </w:r>
      <w:r w:rsidRPr="00E1716E">
        <w:rPr>
          <w:lang w:eastAsia="en-AU"/>
        </w:rPr>
        <w:t>Field of Research (FoR)</w:t>
      </w:r>
      <w:r>
        <w:rPr>
          <w:lang w:eastAsia="en-AU"/>
        </w:rPr>
        <w:t xml:space="preserve"> codes to complete a</w:t>
      </w:r>
      <w:r w:rsidRPr="00933B64">
        <w:rPr>
          <w:lang w:eastAsia="en-AU"/>
        </w:rPr>
        <w:t xml:space="preserve"> renewal application.</w:t>
      </w:r>
    </w:p>
    <w:p w14:paraId="2A738176" w14:textId="10C155DA" w:rsidR="00827477" w:rsidRPr="009952BB" w:rsidRDefault="00827477" w:rsidP="00037FA3">
      <w:pPr>
        <w:pStyle w:val="ListParagraph"/>
        <w:numPr>
          <w:ilvl w:val="0"/>
          <w:numId w:val="8"/>
        </w:numPr>
        <w:spacing w:before="0" w:after="200" w:line="276" w:lineRule="auto"/>
        <w:rPr>
          <w:lang w:eastAsia="en-AU"/>
        </w:rPr>
      </w:pPr>
      <w:r>
        <w:rPr>
          <w:lang w:eastAsia="en-AU"/>
        </w:rPr>
        <w:t>R&amp;D e</w:t>
      </w:r>
      <w:r w:rsidRPr="009952BB">
        <w:rPr>
          <w:lang w:eastAsia="en-AU"/>
        </w:rPr>
        <w:t xml:space="preserve">ntities that use an RSP will need to complete the </w:t>
      </w:r>
      <w:r w:rsidR="007E3A22">
        <w:rPr>
          <w:lang w:eastAsia="en-AU"/>
        </w:rPr>
        <w:t xml:space="preserve">application </w:t>
      </w:r>
      <w:r w:rsidRPr="009952BB">
        <w:rPr>
          <w:lang w:eastAsia="en-AU"/>
        </w:rPr>
        <w:t xml:space="preserve">questions that relate to the </w:t>
      </w:r>
      <w:r w:rsidR="007E3A22">
        <w:rPr>
          <w:lang w:eastAsia="en-AU"/>
        </w:rPr>
        <w:t xml:space="preserve">criteria for </w:t>
      </w:r>
      <w:r w:rsidRPr="009952BB">
        <w:rPr>
          <w:lang w:eastAsia="en-AU"/>
        </w:rPr>
        <w:t>core R&amp;D activit</w:t>
      </w:r>
      <w:r w:rsidR="007E3A22">
        <w:rPr>
          <w:lang w:eastAsia="en-AU"/>
        </w:rPr>
        <w:t>ies</w:t>
      </w:r>
      <w:r>
        <w:rPr>
          <w:lang w:eastAsia="en-AU"/>
        </w:rPr>
        <w:t>.</w:t>
      </w:r>
      <w:r w:rsidRPr="009952BB">
        <w:rPr>
          <w:lang w:eastAsia="en-AU"/>
        </w:rPr>
        <w:t xml:space="preserve"> </w:t>
      </w:r>
    </w:p>
    <w:p w14:paraId="0673CA34" w14:textId="4FE32304" w:rsidR="00827477" w:rsidRPr="009952BB" w:rsidRDefault="00827477" w:rsidP="007E3A22">
      <w:pPr>
        <w:pStyle w:val="ListParagraph"/>
        <w:numPr>
          <w:ilvl w:val="0"/>
          <w:numId w:val="8"/>
        </w:numPr>
        <w:spacing w:before="0" w:after="200" w:line="276" w:lineRule="auto"/>
        <w:rPr>
          <w:lang w:eastAsia="en-AU"/>
        </w:rPr>
      </w:pPr>
      <w:r w:rsidRPr="009952BB">
        <w:rPr>
          <w:lang w:eastAsia="en-AU"/>
        </w:rPr>
        <w:t xml:space="preserve">R&amp;D entities that use RSPs are still responsible for the self-assessment of the R&amp;D activities. Using an RSP does not </w:t>
      </w:r>
      <w:r w:rsidR="007E3A22">
        <w:rPr>
          <w:lang w:eastAsia="en-AU"/>
        </w:rPr>
        <w:t>automatically mean</w:t>
      </w:r>
      <w:r w:rsidR="00F77596">
        <w:rPr>
          <w:lang w:eastAsia="en-AU"/>
        </w:rPr>
        <w:t xml:space="preserve"> that the </w:t>
      </w:r>
      <w:r w:rsidRPr="009952BB">
        <w:rPr>
          <w:lang w:eastAsia="en-AU"/>
        </w:rPr>
        <w:t xml:space="preserve">activities </w:t>
      </w:r>
      <w:r w:rsidR="007E3A22">
        <w:rPr>
          <w:lang w:eastAsia="en-AU"/>
        </w:rPr>
        <w:t xml:space="preserve">they undertake are </w:t>
      </w:r>
      <w:r w:rsidRPr="009952BB">
        <w:rPr>
          <w:lang w:eastAsia="en-AU"/>
        </w:rPr>
        <w:t>eligible core activities</w:t>
      </w:r>
      <w:r w:rsidR="007E3A22">
        <w:rPr>
          <w:lang w:eastAsia="en-AU"/>
        </w:rPr>
        <w:t xml:space="preserve"> as the </w:t>
      </w:r>
      <w:r w:rsidRPr="009952BB">
        <w:rPr>
          <w:lang w:eastAsia="en-AU"/>
        </w:rPr>
        <w:t xml:space="preserve">RSP may not be conducting </w:t>
      </w:r>
      <w:r w:rsidR="007E3A22">
        <w:rPr>
          <w:lang w:eastAsia="en-AU"/>
        </w:rPr>
        <w:t>a</w:t>
      </w:r>
      <w:r w:rsidRPr="009952BB">
        <w:rPr>
          <w:lang w:eastAsia="en-AU"/>
        </w:rPr>
        <w:t xml:space="preserve"> systematic progression of work</w:t>
      </w:r>
      <w:r w:rsidR="00F77596">
        <w:rPr>
          <w:lang w:eastAsia="en-AU"/>
        </w:rPr>
        <w:t xml:space="preserve"> for example, if t</w:t>
      </w:r>
      <w:r w:rsidRPr="009952BB">
        <w:rPr>
          <w:lang w:eastAsia="en-AU"/>
        </w:rPr>
        <w:t xml:space="preserve">hey </w:t>
      </w:r>
      <w:r w:rsidR="00F77596">
        <w:rPr>
          <w:lang w:eastAsia="en-AU"/>
        </w:rPr>
        <w:t xml:space="preserve">are </w:t>
      </w:r>
      <w:r w:rsidR="007E3A22">
        <w:rPr>
          <w:lang w:eastAsia="en-AU"/>
        </w:rPr>
        <w:t xml:space="preserve">simply </w:t>
      </w:r>
      <w:r w:rsidRPr="009952BB">
        <w:rPr>
          <w:lang w:eastAsia="en-AU"/>
        </w:rPr>
        <w:t>undertaking data collection or analysis.</w:t>
      </w:r>
    </w:p>
    <w:p w14:paraId="2320D8CD" w14:textId="78B848B2" w:rsidR="00827477" w:rsidRDefault="00827477" w:rsidP="00037FA3">
      <w:pPr>
        <w:pStyle w:val="ListParagraph"/>
        <w:numPr>
          <w:ilvl w:val="0"/>
          <w:numId w:val="8"/>
        </w:numPr>
        <w:spacing w:before="0" w:after="200" w:line="276" w:lineRule="auto"/>
        <w:rPr>
          <w:lang w:eastAsia="en-AU"/>
        </w:rPr>
      </w:pPr>
      <w:r>
        <w:rPr>
          <w:lang w:eastAsia="en-AU"/>
        </w:rPr>
        <w:t xml:space="preserve">It is </w:t>
      </w:r>
      <w:r w:rsidRPr="009952BB">
        <w:rPr>
          <w:lang w:eastAsia="en-AU"/>
        </w:rPr>
        <w:t xml:space="preserve">not the role of the RSP to advise </w:t>
      </w:r>
      <w:r w:rsidR="007E3A22">
        <w:rPr>
          <w:lang w:eastAsia="en-AU"/>
        </w:rPr>
        <w:t xml:space="preserve">an </w:t>
      </w:r>
      <w:r w:rsidRPr="009952BB">
        <w:rPr>
          <w:lang w:eastAsia="en-AU"/>
        </w:rPr>
        <w:t xml:space="preserve">R&amp;D entity regarding </w:t>
      </w:r>
      <w:r w:rsidR="007E3A22">
        <w:rPr>
          <w:lang w:eastAsia="en-AU"/>
        </w:rPr>
        <w:t xml:space="preserve">the eligibility of an </w:t>
      </w:r>
      <w:r w:rsidRPr="009952BB">
        <w:rPr>
          <w:lang w:eastAsia="en-AU"/>
        </w:rPr>
        <w:t>activity.</w:t>
      </w:r>
      <w:r w:rsidR="007E3A22">
        <w:rPr>
          <w:lang w:eastAsia="en-AU"/>
        </w:rPr>
        <w:t xml:space="preserve"> The entity itself is responsible for self-assessment of any activities claimed for the </w:t>
      </w:r>
      <w:r w:rsidR="00F77596">
        <w:rPr>
          <w:lang w:eastAsia="en-AU"/>
        </w:rPr>
        <w:t>tax incentive.</w:t>
      </w:r>
    </w:p>
    <w:p w14:paraId="4D201E68" w14:textId="5FD669C0" w:rsidR="00F77596" w:rsidRDefault="007B766B" w:rsidP="00B5470D">
      <w:pPr>
        <w:pStyle w:val="Heading3"/>
        <w:rPr>
          <w:lang w:eastAsia="en-AU"/>
        </w:rPr>
      </w:pPr>
      <w:r>
        <w:rPr>
          <w:lang w:eastAsia="en-AU"/>
        </w:rPr>
        <w:t xml:space="preserve">3.5 Program Guidance &amp; </w:t>
      </w:r>
      <w:r w:rsidR="00F77596">
        <w:rPr>
          <w:lang w:eastAsia="en-AU"/>
        </w:rPr>
        <w:t>Determinations (</w:t>
      </w:r>
      <w:r w:rsidR="00827477">
        <w:rPr>
          <w:lang w:eastAsia="en-AU"/>
        </w:rPr>
        <w:t xml:space="preserve">Chris Enders) </w:t>
      </w:r>
    </w:p>
    <w:p w14:paraId="57227459" w14:textId="3FA3C869" w:rsidR="00123DAE" w:rsidRPr="00123DAE" w:rsidRDefault="00123DAE" w:rsidP="00123DAE">
      <w:pPr>
        <w:pStyle w:val="Heading4"/>
        <w:rPr>
          <w:lang w:eastAsia="en-AU"/>
        </w:rPr>
      </w:pPr>
      <w:r>
        <w:rPr>
          <w:lang w:eastAsia="en-AU"/>
        </w:rPr>
        <w:t>Determinations</w:t>
      </w:r>
    </w:p>
    <w:p w14:paraId="0D97B03E" w14:textId="1F8ADDA5" w:rsidR="00827477" w:rsidRPr="007859DF" w:rsidRDefault="00827477" w:rsidP="00B5470D">
      <w:pPr>
        <w:pStyle w:val="ListParagraph"/>
        <w:numPr>
          <w:ilvl w:val="0"/>
          <w:numId w:val="24"/>
        </w:numPr>
      </w:pPr>
      <w:r w:rsidRPr="007859DF">
        <w:t>The Minister for Industry, the Treasurer, and the Minister for Health announced the public consultation on the first R&amp;D Tax Incentive program determination</w:t>
      </w:r>
      <w:r w:rsidR="00F77596" w:rsidRPr="00F77596">
        <w:t xml:space="preserve"> </w:t>
      </w:r>
      <w:r w:rsidR="00F77596" w:rsidRPr="007859DF">
        <w:t xml:space="preserve">on </w:t>
      </w:r>
      <w:r w:rsidR="00F77596">
        <w:t>clinical trials</w:t>
      </w:r>
      <w:r w:rsidR="00352DE9">
        <w:t xml:space="preserve"> on 20 January 2022</w:t>
      </w:r>
      <w:r w:rsidRPr="007859DF">
        <w:t>.</w:t>
      </w:r>
    </w:p>
    <w:p w14:paraId="6D5C7C72" w14:textId="2D65D0B8" w:rsidR="00827477" w:rsidRDefault="00827477" w:rsidP="00037FA3">
      <w:pPr>
        <w:pStyle w:val="ListParagraph"/>
        <w:numPr>
          <w:ilvl w:val="0"/>
          <w:numId w:val="12"/>
        </w:numPr>
        <w:spacing w:before="0" w:after="200" w:line="276" w:lineRule="auto"/>
      </w:pPr>
      <w:r w:rsidRPr="007859DF">
        <w:t>Consultation activities included two online briefing sessions, which included representative</w:t>
      </w:r>
      <w:r>
        <w:t>s</w:t>
      </w:r>
      <w:r w:rsidRPr="007859DF">
        <w:t xml:space="preserve"> from the ATO, Department of Health and Health sector, and Aus</w:t>
      </w:r>
      <w:r w:rsidR="00F77596">
        <w:t>t</w:t>
      </w:r>
      <w:r w:rsidRPr="007859DF">
        <w:t xml:space="preserve">rade. </w:t>
      </w:r>
    </w:p>
    <w:p w14:paraId="0F50E8C2" w14:textId="026F0619" w:rsidR="00827477" w:rsidRDefault="00352DE9" w:rsidP="00037FA3">
      <w:pPr>
        <w:pStyle w:val="ListParagraph"/>
        <w:numPr>
          <w:ilvl w:val="0"/>
          <w:numId w:val="12"/>
        </w:numPr>
        <w:spacing w:before="0" w:after="200" w:line="276" w:lineRule="auto"/>
      </w:pPr>
      <w:r>
        <w:t>The p</w:t>
      </w:r>
      <w:r w:rsidR="00F77596">
        <w:t>ublic c</w:t>
      </w:r>
      <w:r w:rsidR="00827477" w:rsidRPr="007859DF">
        <w:t xml:space="preserve">onsultation </w:t>
      </w:r>
      <w:r>
        <w:t xml:space="preserve">period </w:t>
      </w:r>
      <w:r w:rsidR="00827477" w:rsidRPr="007859DF">
        <w:t>closed on 17 February 2022</w:t>
      </w:r>
      <w:r w:rsidR="00F77596">
        <w:t xml:space="preserve"> attracting 11</w:t>
      </w:r>
      <w:r w:rsidR="00827477" w:rsidRPr="007859DF">
        <w:t xml:space="preserve"> submissions </w:t>
      </w:r>
      <w:r w:rsidR="00F77596">
        <w:t xml:space="preserve">from </w:t>
      </w:r>
      <w:r w:rsidR="00827477" w:rsidRPr="007859DF">
        <w:t xml:space="preserve">large tax agents and consulting companies, industry associations, and </w:t>
      </w:r>
      <w:r w:rsidR="00F77596">
        <w:t xml:space="preserve">entities in </w:t>
      </w:r>
      <w:r w:rsidR="00827477" w:rsidRPr="007859DF">
        <w:t xml:space="preserve">the </w:t>
      </w:r>
      <w:r w:rsidR="00F77596">
        <w:t>b</w:t>
      </w:r>
      <w:r w:rsidR="00827477" w:rsidRPr="007859DF">
        <w:t>io</w:t>
      </w:r>
      <w:r w:rsidR="00F77596">
        <w:t>t</w:t>
      </w:r>
      <w:r w:rsidR="00827477" w:rsidRPr="007859DF">
        <w:t xml:space="preserve">ech sector. Sentiment </w:t>
      </w:r>
      <w:r w:rsidR="00F77596">
        <w:t xml:space="preserve">on the draft determination </w:t>
      </w:r>
      <w:r w:rsidR="00827477" w:rsidRPr="007859DF">
        <w:t>was positive.</w:t>
      </w:r>
    </w:p>
    <w:p w14:paraId="2DFE10BA" w14:textId="3CDD9166" w:rsidR="00827477" w:rsidRPr="007859DF" w:rsidRDefault="00827477" w:rsidP="00037FA3">
      <w:pPr>
        <w:pStyle w:val="ListParagraph"/>
        <w:numPr>
          <w:ilvl w:val="0"/>
          <w:numId w:val="12"/>
        </w:numPr>
        <w:spacing w:before="0" w:after="200" w:line="276" w:lineRule="auto"/>
      </w:pPr>
      <w:r w:rsidRPr="007859DF">
        <w:t>The determination has been revised as appropriate and is being finalised</w:t>
      </w:r>
      <w:r w:rsidR="00352DE9">
        <w:t xml:space="preserve"> as the</w:t>
      </w:r>
      <w:r w:rsidRPr="007859DF">
        <w:t xml:space="preserve"> </w:t>
      </w:r>
      <w:r w:rsidRPr="007859DF">
        <w:rPr>
          <w:i/>
          <w:iCs/>
        </w:rPr>
        <w:t>Industry Research and Development (clinical trials, Phase 0, I, II, III, pre-market pilot stage, pre-market pivotal stage, for an unapproved therapeutic good) Determination 2022</w:t>
      </w:r>
      <w:r w:rsidRPr="007859DF">
        <w:rPr>
          <w:iCs/>
        </w:rPr>
        <w:t>.</w:t>
      </w:r>
    </w:p>
    <w:p w14:paraId="06D47688" w14:textId="77777777" w:rsidR="00827477" w:rsidRPr="007859DF" w:rsidRDefault="00827477" w:rsidP="00037FA3">
      <w:pPr>
        <w:pStyle w:val="ListParagraph"/>
        <w:numPr>
          <w:ilvl w:val="0"/>
          <w:numId w:val="12"/>
        </w:numPr>
        <w:spacing w:before="0" w:after="200" w:line="276" w:lineRule="auto"/>
      </w:pPr>
      <w:r w:rsidRPr="007859DF">
        <w:t>The determination will go to the Federal Register of Legislation by May 2022, coming into effect within 3-5 days of registration.</w:t>
      </w:r>
    </w:p>
    <w:p w14:paraId="212DB8DF" w14:textId="4F61DB8D" w:rsidR="00827477" w:rsidRPr="007859DF" w:rsidRDefault="00827477" w:rsidP="00352DE9">
      <w:pPr>
        <w:pStyle w:val="ListParagraph"/>
        <w:numPr>
          <w:ilvl w:val="0"/>
          <w:numId w:val="12"/>
        </w:numPr>
        <w:spacing w:before="0" w:after="200" w:line="276" w:lineRule="auto"/>
      </w:pPr>
      <w:r w:rsidRPr="007859DF">
        <w:t>The determination will facilitate registration with the R&amp;D Tax incentive program by reducing the amount of information required in registering to a minimum for activities covered by the determination.</w:t>
      </w:r>
      <w:r w:rsidR="00352DE9">
        <w:t xml:space="preserve"> It also </w:t>
      </w:r>
      <w:r w:rsidRPr="007859DF">
        <w:t>offers certainty that phase 0, I, II III, pre-market pilot stage and/or pre-market pivotal stage clinical trials for an unapproved therapeutic good are ‘core R&amp;D activities.’ It is binding on the IISA Board, its delegate, and the Commissioner of Taxation, and so offers a great degree of assurance to companies for whom it is applicable.</w:t>
      </w:r>
    </w:p>
    <w:p w14:paraId="7219FF8D" w14:textId="604B5258" w:rsidR="00827477" w:rsidRDefault="00827477" w:rsidP="00037FA3">
      <w:pPr>
        <w:pStyle w:val="ListParagraph"/>
        <w:numPr>
          <w:ilvl w:val="0"/>
          <w:numId w:val="12"/>
        </w:numPr>
        <w:spacing w:before="0" w:after="200" w:line="276" w:lineRule="auto"/>
      </w:pPr>
      <w:r w:rsidRPr="007859DF">
        <w:t>The release of the determination will be accompanied by short, simple guidance on how to apply the determination.</w:t>
      </w:r>
    </w:p>
    <w:p w14:paraId="6BD833E2" w14:textId="0B13FD7E" w:rsidR="007B766B" w:rsidRDefault="00123DAE" w:rsidP="00123DAE">
      <w:pPr>
        <w:pStyle w:val="Heading4"/>
      </w:pPr>
      <w:r>
        <w:t xml:space="preserve">Software Guidance </w:t>
      </w:r>
    </w:p>
    <w:p w14:paraId="76DAF686" w14:textId="77777777" w:rsidR="00827477" w:rsidRPr="003F60BA" w:rsidRDefault="00827477" w:rsidP="00037FA3">
      <w:pPr>
        <w:pStyle w:val="ListParagraph"/>
        <w:numPr>
          <w:ilvl w:val="0"/>
          <w:numId w:val="12"/>
        </w:numPr>
        <w:spacing w:before="0" w:after="200" w:line="276" w:lineRule="auto"/>
      </w:pPr>
      <w:r w:rsidRPr="003F60BA">
        <w:t>Software-related R&amp;D activities have always been a major part of the R&amp;DTI, comprising over 40% of total registrations (</w:t>
      </w:r>
      <w:r w:rsidRPr="00827477">
        <w:t>over 5,500</w:t>
      </w:r>
      <w:r w:rsidRPr="003F60BA">
        <w:t>) and over 30% of R&amp;D expenditure ($4.7 billion) in 2019-20.</w:t>
      </w:r>
    </w:p>
    <w:p w14:paraId="49306672" w14:textId="720BCBC6" w:rsidR="00827477" w:rsidRPr="003F60BA" w:rsidRDefault="00827477" w:rsidP="00037FA3">
      <w:pPr>
        <w:pStyle w:val="ListParagraph"/>
        <w:numPr>
          <w:ilvl w:val="0"/>
          <w:numId w:val="12"/>
        </w:numPr>
        <w:spacing w:before="0" w:after="200" w:line="276" w:lineRule="auto"/>
      </w:pPr>
      <w:r w:rsidRPr="003F60BA">
        <w:lastRenderedPageBreak/>
        <w:t xml:space="preserve">The rapidly evolving nature of the industry has highlighted the need to update guidance and support companies in self-assessing the eligibility of their software-related activities. </w:t>
      </w:r>
    </w:p>
    <w:p w14:paraId="60D6EF51" w14:textId="77777777" w:rsidR="00827477" w:rsidRPr="003F60BA" w:rsidRDefault="00827477" w:rsidP="00037FA3">
      <w:pPr>
        <w:pStyle w:val="ListParagraph"/>
        <w:numPr>
          <w:ilvl w:val="0"/>
          <w:numId w:val="12"/>
        </w:numPr>
        <w:spacing w:before="0" w:after="200" w:line="276" w:lineRule="auto"/>
      </w:pPr>
      <w:r w:rsidRPr="003F60BA">
        <w:t xml:space="preserve">The release of the ‘Software-related activities and the R&amp;D Tax Incentive’ guide represents the first of four modules planned to help educate companies. </w:t>
      </w:r>
    </w:p>
    <w:p w14:paraId="30F0723F" w14:textId="636A53D7" w:rsidR="00827477" w:rsidRPr="003F60BA" w:rsidRDefault="00827477" w:rsidP="00352DE9">
      <w:pPr>
        <w:pStyle w:val="ListParagraph"/>
        <w:numPr>
          <w:ilvl w:val="0"/>
          <w:numId w:val="12"/>
        </w:numPr>
        <w:spacing w:before="0" w:after="200" w:line="276" w:lineRule="auto"/>
      </w:pPr>
      <w:r w:rsidRPr="003F60BA">
        <w:t xml:space="preserve">This modular approach allows AusIndustry and the ATO to continue updating program guidance in alignment with our understanding of the software sector, gained from our consultations with key stakeholders. Future modules will cover record-keeping, sector-specific case studies, exploration of prominent classes of software-related R&amp;D activities and video content designed to support applicant registrations.  </w:t>
      </w:r>
    </w:p>
    <w:p w14:paraId="3F81BD22" w14:textId="341C9E81" w:rsidR="00827477" w:rsidRPr="003F60BA" w:rsidRDefault="00827477" w:rsidP="00352DE9">
      <w:pPr>
        <w:pStyle w:val="ListParagraph"/>
        <w:numPr>
          <w:ilvl w:val="0"/>
          <w:numId w:val="12"/>
        </w:numPr>
        <w:spacing w:before="0" w:after="200" w:line="276" w:lineRule="auto"/>
      </w:pPr>
      <w:r w:rsidRPr="003F60BA">
        <w:t>The draft guide was open for public consultation from May</w:t>
      </w:r>
      <w:r w:rsidR="00321BC9">
        <w:t xml:space="preserve"> 2021</w:t>
      </w:r>
      <w:r w:rsidRPr="003F60BA">
        <w:t xml:space="preserve"> to June 2021.  </w:t>
      </w:r>
      <w:r w:rsidR="00321BC9">
        <w:t>Twenty six</w:t>
      </w:r>
      <w:r w:rsidR="00321BC9" w:rsidRPr="003F60BA">
        <w:t xml:space="preserve"> </w:t>
      </w:r>
      <w:r w:rsidRPr="003F60BA">
        <w:t xml:space="preserve">submissions were received, reviewed and incorporated into the guide where possible, or will help shape </w:t>
      </w:r>
      <w:r w:rsidR="00352DE9">
        <w:t>future</w:t>
      </w:r>
      <w:r w:rsidRPr="003F60BA">
        <w:t xml:space="preserve"> modules. </w:t>
      </w:r>
    </w:p>
    <w:p w14:paraId="33D51578" w14:textId="0699115B" w:rsidR="00827477" w:rsidRDefault="00827477" w:rsidP="00352DE9">
      <w:pPr>
        <w:pStyle w:val="ListParagraph"/>
        <w:numPr>
          <w:ilvl w:val="0"/>
          <w:numId w:val="12"/>
        </w:numPr>
        <w:spacing w:before="0" w:after="200" w:line="276" w:lineRule="auto"/>
      </w:pPr>
      <w:r>
        <w:t>AusIndustry</w:t>
      </w:r>
      <w:r w:rsidRPr="003F60BA">
        <w:t xml:space="preserve"> work</w:t>
      </w:r>
      <w:r w:rsidR="00352DE9">
        <w:t>ed</w:t>
      </w:r>
      <w:r w:rsidRPr="003F60BA">
        <w:t xml:space="preserve"> with the ATO, as well as the Tech Council of Australia</w:t>
      </w:r>
      <w:r w:rsidR="00352DE9">
        <w:t xml:space="preserve"> to</w:t>
      </w:r>
      <w:r w:rsidRPr="003F60BA">
        <w:t xml:space="preserve"> hold workshops and meetings</w:t>
      </w:r>
      <w:r w:rsidR="00352DE9">
        <w:t xml:space="preserve"> </w:t>
      </w:r>
      <w:r w:rsidRPr="003F60BA">
        <w:t xml:space="preserve">to </w:t>
      </w:r>
      <w:r w:rsidR="00352DE9">
        <w:t>co-develop</w:t>
      </w:r>
      <w:r w:rsidRPr="003F60BA">
        <w:t xml:space="preserve"> this finalised guidance. </w:t>
      </w:r>
      <w:r>
        <w:t xml:space="preserve">Industry consultation and collaboration has been </w:t>
      </w:r>
      <w:r w:rsidR="0010482C">
        <w:t xml:space="preserve">a </w:t>
      </w:r>
      <w:r>
        <w:t xml:space="preserve">successful </w:t>
      </w:r>
      <w:r w:rsidR="0010482C">
        <w:t xml:space="preserve">approach </w:t>
      </w:r>
      <w:r>
        <w:t xml:space="preserve">and will be repeated for future guidance products that may be revised or created. </w:t>
      </w:r>
    </w:p>
    <w:p w14:paraId="14CCF213" w14:textId="6A6FD314" w:rsidR="00827477" w:rsidRDefault="007B766B" w:rsidP="00B5470D">
      <w:pPr>
        <w:pStyle w:val="Heading3"/>
      </w:pPr>
      <w:r>
        <w:t xml:space="preserve">3.6 </w:t>
      </w:r>
      <w:r w:rsidR="00E1716E">
        <w:t>Large Business Review (Nadia Rosenman)</w:t>
      </w:r>
    </w:p>
    <w:p w14:paraId="5E0389FD" w14:textId="26E1B423" w:rsidR="00827477" w:rsidRPr="00933B64" w:rsidRDefault="00827477" w:rsidP="00037FA3">
      <w:pPr>
        <w:pStyle w:val="ListParagraph"/>
        <w:numPr>
          <w:ilvl w:val="0"/>
          <w:numId w:val="12"/>
        </w:numPr>
        <w:spacing w:before="0" w:after="200" w:line="276" w:lineRule="auto"/>
      </w:pPr>
      <w:r>
        <w:t>The Large Business Review (LBR)</w:t>
      </w:r>
      <w:r w:rsidRPr="00933B64">
        <w:t xml:space="preserve"> program </w:t>
      </w:r>
      <w:r>
        <w:t xml:space="preserve">will continue </w:t>
      </w:r>
      <w:r w:rsidRPr="00933B64">
        <w:t xml:space="preserve">in 2022, after finalising some reviews last year. </w:t>
      </w:r>
    </w:p>
    <w:p w14:paraId="48D1A6B8" w14:textId="78AEBC63" w:rsidR="00827477" w:rsidRPr="00933B64" w:rsidRDefault="00827477" w:rsidP="00037FA3">
      <w:pPr>
        <w:pStyle w:val="ListParagraph"/>
        <w:numPr>
          <w:ilvl w:val="0"/>
          <w:numId w:val="12"/>
        </w:numPr>
        <w:spacing w:before="0" w:after="200" w:line="276" w:lineRule="auto"/>
      </w:pPr>
      <w:r w:rsidRPr="00933B64">
        <w:t>LBRs are an assurance product</w:t>
      </w:r>
      <w:r w:rsidR="0010482C">
        <w:t xml:space="preserve"> that</w:t>
      </w:r>
      <w:r w:rsidRPr="00933B64">
        <w:t xml:space="preserve"> </w:t>
      </w:r>
      <w:r w:rsidR="0010482C">
        <w:t xml:space="preserve">involves </w:t>
      </w:r>
      <w:r w:rsidRPr="00933B64">
        <w:t>AusIndustry work</w:t>
      </w:r>
      <w:r w:rsidR="0010482C">
        <w:t>ing</w:t>
      </w:r>
      <w:r w:rsidRPr="00933B64">
        <w:t xml:space="preserve"> with a comp</w:t>
      </w:r>
      <w:r w:rsidR="006F5A71">
        <w:t>any to understand how they self-</w:t>
      </w:r>
      <w:r w:rsidRPr="00933B64">
        <w:t>assess for the R&amp;DTI and to address any compliance issues</w:t>
      </w:r>
      <w:r w:rsidR="00123DAE">
        <w:t>,</w:t>
      </w:r>
      <w:r w:rsidR="0010482C">
        <w:t xml:space="preserve"> should they arise</w:t>
      </w:r>
      <w:r w:rsidRPr="00933B64">
        <w:t>. The aim is similar to the cooperative compliance approach used by the ATO’s justified trust programs.</w:t>
      </w:r>
    </w:p>
    <w:p w14:paraId="2DF5CBB1" w14:textId="784163B5" w:rsidR="00827477" w:rsidRDefault="00827477" w:rsidP="00037FA3">
      <w:pPr>
        <w:pStyle w:val="ListParagraph"/>
        <w:numPr>
          <w:ilvl w:val="0"/>
          <w:numId w:val="12"/>
        </w:numPr>
        <w:spacing w:before="0" w:after="200" w:line="276" w:lineRule="auto"/>
      </w:pPr>
      <w:r w:rsidRPr="00933B64">
        <w:t>AusIndustry consults with the ATO in the selection of companies for LBRs</w:t>
      </w:r>
      <w:r w:rsidR="0010482C">
        <w:t xml:space="preserve"> and aims to work with them to ensure a co-ordinated approach.</w:t>
      </w:r>
    </w:p>
    <w:p w14:paraId="3A6CBAA7" w14:textId="242FB98B" w:rsidR="0010482C" w:rsidRDefault="0010482C" w:rsidP="00037FA3">
      <w:pPr>
        <w:pStyle w:val="ListParagraph"/>
        <w:numPr>
          <w:ilvl w:val="0"/>
          <w:numId w:val="12"/>
        </w:numPr>
        <w:spacing w:before="0" w:after="200" w:line="276" w:lineRule="auto"/>
      </w:pPr>
      <w:r>
        <w:t>When a company is assessed as ‘doing the right thing’, a review is not generally undertaken for four years.</w:t>
      </w:r>
    </w:p>
    <w:p w14:paraId="064B5FD4" w14:textId="77777777" w:rsidR="006F5A71" w:rsidRPr="00933B64" w:rsidRDefault="006F5A71" w:rsidP="006F5A71">
      <w:pPr>
        <w:pStyle w:val="ListParagraph"/>
        <w:spacing w:before="0" w:after="200" w:line="276" w:lineRule="auto"/>
      </w:pPr>
    </w:p>
    <w:p w14:paraId="43FAC459" w14:textId="6D038EF4" w:rsidR="006F5A71" w:rsidRPr="006F5A71" w:rsidRDefault="00827477" w:rsidP="00037FA3">
      <w:pPr>
        <w:pStyle w:val="ListParagraph"/>
        <w:numPr>
          <w:ilvl w:val="0"/>
          <w:numId w:val="5"/>
        </w:numPr>
        <w:spacing w:before="60" w:after="0" w:line="25" w:lineRule="atLeast"/>
        <w:rPr>
          <w:rFonts w:eastAsia="Times New Roman" w:cstheme="minorHAnsi"/>
          <w:sz w:val="22"/>
          <w:szCs w:val="22"/>
          <w:lang w:eastAsia="en-AU"/>
        </w:rPr>
      </w:pPr>
      <w:r w:rsidRPr="003F60BA">
        <w:t xml:space="preserve"> </w:t>
      </w:r>
      <w:r w:rsidR="006F5A71">
        <w:rPr>
          <w:rFonts w:asciiTheme="majorHAnsi" w:eastAsia="Times New Roman" w:hAnsiTheme="majorHAnsi" w:cstheme="majorBidi"/>
          <w:b/>
          <w:color w:val="212A4C" w:themeColor="text2"/>
          <w:sz w:val="28"/>
          <w:szCs w:val="26"/>
          <w:lang w:eastAsia="en-AU"/>
        </w:rPr>
        <w:t>Roundtable Update</w:t>
      </w:r>
    </w:p>
    <w:p w14:paraId="705E953E" w14:textId="2AFE213A" w:rsidR="006F5A71" w:rsidRDefault="0010482C" w:rsidP="00B5470D">
      <w:r>
        <w:rPr>
          <w:lang w:eastAsia="en-AU"/>
        </w:rPr>
        <w:t>Chris Enders provided a recap of t</w:t>
      </w:r>
      <w:r w:rsidR="006F5A71" w:rsidRPr="003C2824">
        <w:t>he last meeting of the R&amp;DTI Roundtable held on Thursday, 10 March 2022.</w:t>
      </w:r>
      <w:r>
        <w:t xml:space="preserve"> </w:t>
      </w:r>
      <w:r w:rsidR="006F5A71">
        <w:t xml:space="preserve">The </w:t>
      </w:r>
      <w:r>
        <w:t xml:space="preserve">full </w:t>
      </w:r>
      <w:r w:rsidR="006F5A71">
        <w:t xml:space="preserve">meeting summary is </w:t>
      </w:r>
      <w:r>
        <w:t xml:space="preserve">made </w:t>
      </w:r>
      <w:r w:rsidR="006F5A71">
        <w:t xml:space="preserve">available </w:t>
      </w:r>
      <w:r w:rsidR="00037FA3">
        <w:t>on b</w:t>
      </w:r>
      <w:r w:rsidR="00872B9B">
        <w:t>usiness</w:t>
      </w:r>
      <w:r w:rsidR="00037FA3">
        <w:t>.gov.au.</w:t>
      </w:r>
      <w:r>
        <w:t xml:space="preserve"> Some key points of interest included:</w:t>
      </w:r>
    </w:p>
    <w:p w14:paraId="120E69B0" w14:textId="12B5A5DA" w:rsidR="0098271F" w:rsidRPr="003C2824" w:rsidRDefault="0098271F" w:rsidP="00B5470D">
      <w:pPr>
        <w:pStyle w:val="Heading4"/>
      </w:pPr>
      <w:r>
        <w:t>Tech Council of Australia collaboration on revised guidance for software activities</w:t>
      </w:r>
    </w:p>
    <w:p w14:paraId="7B6785F8" w14:textId="46384D5C" w:rsidR="006F5A71" w:rsidRPr="00770FF6" w:rsidRDefault="006F5A71" w:rsidP="0010482C">
      <w:pPr>
        <w:pStyle w:val="ListParagraph"/>
        <w:numPr>
          <w:ilvl w:val="0"/>
          <w:numId w:val="13"/>
        </w:numPr>
      </w:pPr>
      <w:r w:rsidRPr="00770FF6">
        <w:t>Kate Pounder, CEO of Tech Council Australia (TCA)</w:t>
      </w:r>
      <w:r w:rsidR="0010482C">
        <w:t xml:space="preserve"> address</w:t>
      </w:r>
      <w:r w:rsidR="00AF3AD5">
        <w:t>ed</w:t>
      </w:r>
      <w:r w:rsidR="0010482C">
        <w:t xml:space="preserve"> members in relation to the</w:t>
      </w:r>
      <w:r w:rsidRPr="00770FF6">
        <w:t xml:space="preserve"> TCA</w:t>
      </w:r>
      <w:r w:rsidR="0010482C">
        <w:t xml:space="preserve">’s involvement in developing </w:t>
      </w:r>
      <w:r w:rsidRPr="00770FF6">
        <w:t>in the development of the revised software guidance</w:t>
      </w:r>
      <w:r w:rsidR="0010482C" w:rsidRPr="0010482C">
        <w:t xml:space="preserve"> a key stakeholder</w:t>
      </w:r>
      <w:r>
        <w:t>.</w:t>
      </w:r>
      <w:r w:rsidR="00845C5A">
        <w:t xml:space="preserve"> K</w:t>
      </w:r>
      <w:r w:rsidRPr="00770FF6">
        <w:t>ey points were:</w:t>
      </w:r>
    </w:p>
    <w:p w14:paraId="4D8B6B1C" w14:textId="759C8357" w:rsidR="006F5A71" w:rsidRPr="00770FF6" w:rsidRDefault="006F5A71" w:rsidP="00037FA3">
      <w:pPr>
        <w:pStyle w:val="ListParagraph"/>
        <w:numPr>
          <w:ilvl w:val="1"/>
          <w:numId w:val="12"/>
        </w:numPr>
        <w:spacing w:before="0" w:after="200" w:line="276" w:lineRule="auto"/>
      </w:pPr>
      <w:r w:rsidRPr="00770FF6">
        <w:t>It can be difficult to apply traditional definitions of R&amp;D to software related development so the</w:t>
      </w:r>
      <w:r w:rsidR="0010482C">
        <w:t>y</w:t>
      </w:r>
      <w:r w:rsidRPr="00770FF6">
        <w:t xml:space="preserve"> aimed to use plain English and provide practical examples </w:t>
      </w:r>
      <w:r w:rsidR="0010482C">
        <w:t xml:space="preserve">that </w:t>
      </w:r>
      <w:r w:rsidRPr="00770FF6">
        <w:t>speak to the industry</w:t>
      </w:r>
      <w:r w:rsidR="0010482C">
        <w:t xml:space="preserve"> in the revised guidelines</w:t>
      </w:r>
      <w:r w:rsidRPr="00770FF6">
        <w:t>.</w:t>
      </w:r>
    </w:p>
    <w:p w14:paraId="7899004A" w14:textId="106796C5" w:rsidR="006F5A71" w:rsidRPr="00770FF6" w:rsidRDefault="006F5A71" w:rsidP="00037FA3">
      <w:pPr>
        <w:pStyle w:val="ListParagraph"/>
        <w:numPr>
          <w:ilvl w:val="1"/>
          <w:numId w:val="12"/>
        </w:numPr>
        <w:spacing w:before="0" w:after="200" w:line="276" w:lineRule="auto"/>
      </w:pPr>
      <w:r w:rsidRPr="00770FF6">
        <w:t xml:space="preserve">The </w:t>
      </w:r>
      <w:r w:rsidR="0010482C">
        <w:t xml:space="preserve">overall </w:t>
      </w:r>
      <w:r w:rsidRPr="00770FF6">
        <w:t xml:space="preserve">aim was to provide more clarity around the </w:t>
      </w:r>
      <w:r w:rsidR="0010482C">
        <w:t xml:space="preserve">program </w:t>
      </w:r>
      <w:r w:rsidRPr="00770FF6">
        <w:t xml:space="preserve">requirements where companies consistently struggle. </w:t>
      </w:r>
    </w:p>
    <w:p w14:paraId="093CE84A" w14:textId="7510D66F" w:rsidR="0010482C" w:rsidRPr="00770FF6" w:rsidRDefault="006F5A71" w:rsidP="0010482C">
      <w:pPr>
        <w:pStyle w:val="ListParagraph"/>
        <w:numPr>
          <w:ilvl w:val="1"/>
          <w:numId w:val="12"/>
        </w:numPr>
        <w:spacing w:before="0" w:after="200" w:line="276" w:lineRule="auto"/>
      </w:pPr>
      <w:r w:rsidRPr="00770FF6">
        <w:t>The collaborative process focused on addressing these areas of uncertainty.</w:t>
      </w:r>
    </w:p>
    <w:p w14:paraId="27C0C254" w14:textId="10C6865E" w:rsidR="006F5A71" w:rsidRDefault="006F5A71" w:rsidP="00037FA3">
      <w:pPr>
        <w:pStyle w:val="ListParagraph"/>
        <w:numPr>
          <w:ilvl w:val="0"/>
          <w:numId w:val="12"/>
        </w:numPr>
        <w:spacing w:before="0" w:after="200" w:line="276" w:lineRule="auto"/>
      </w:pPr>
      <w:r w:rsidRPr="00770FF6">
        <w:t xml:space="preserve">AusIndustry and the ATO valued </w:t>
      </w:r>
      <w:r w:rsidR="0098271F">
        <w:t xml:space="preserve">input from </w:t>
      </w:r>
      <w:r w:rsidRPr="00770FF6">
        <w:t>the TCA and other stakeholders in develop</w:t>
      </w:r>
      <w:r w:rsidR="0098271F">
        <w:t>ing</w:t>
      </w:r>
      <w:r w:rsidRPr="00770FF6">
        <w:t xml:space="preserve"> the revised guidance. This is a process that we would look to repeat in the future with other sectors.</w:t>
      </w:r>
    </w:p>
    <w:p w14:paraId="1BAE0032" w14:textId="54DB2D56" w:rsidR="0098271F" w:rsidRDefault="0098271F" w:rsidP="00B5470D">
      <w:pPr>
        <w:pStyle w:val="Heading4"/>
      </w:pPr>
      <w:r>
        <w:lastRenderedPageBreak/>
        <w:t>Covid-19 impacts on business R&amp;D</w:t>
      </w:r>
    </w:p>
    <w:p w14:paraId="36F612D8" w14:textId="2B1D7574" w:rsidR="006F5A71" w:rsidRPr="003C2824" w:rsidRDefault="0098271F" w:rsidP="00037FA3">
      <w:pPr>
        <w:pStyle w:val="ListParagraph"/>
        <w:numPr>
          <w:ilvl w:val="0"/>
          <w:numId w:val="12"/>
        </w:numPr>
        <w:spacing w:before="0" w:after="200" w:line="276" w:lineRule="auto"/>
      </w:pPr>
      <w:r>
        <w:t>Roundtable m</w:t>
      </w:r>
      <w:r w:rsidR="006F5A71">
        <w:t>e</w:t>
      </w:r>
      <w:r w:rsidR="006F5A71" w:rsidRPr="003C2824">
        <w:t>mbers shared insights on the impact of COVID-19 on business and their R&amp;D. Key points included:</w:t>
      </w:r>
    </w:p>
    <w:p w14:paraId="193DAF5B" w14:textId="77777777" w:rsidR="006F5A71" w:rsidRPr="003C2824" w:rsidRDefault="006F5A71" w:rsidP="00037FA3">
      <w:pPr>
        <w:pStyle w:val="ListParagraph"/>
        <w:numPr>
          <w:ilvl w:val="1"/>
          <w:numId w:val="12"/>
        </w:numPr>
      </w:pPr>
      <w:r w:rsidRPr="003C2824">
        <w:t xml:space="preserve">Innovations in information technology has allowed many organisations to survive, if not thrive in pandemic conditions. </w:t>
      </w:r>
    </w:p>
    <w:p w14:paraId="29DCBCD0" w14:textId="46345F0F" w:rsidR="006F5A71" w:rsidRPr="003C2824" w:rsidRDefault="006F5A71" w:rsidP="00037FA3">
      <w:pPr>
        <w:pStyle w:val="ListParagraph"/>
        <w:numPr>
          <w:ilvl w:val="1"/>
          <w:numId w:val="12"/>
        </w:numPr>
      </w:pPr>
      <w:r w:rsidRPr="003C2824">
        <w:t xml:space="preserve">Skills shortages have massively impacted many industry sectors and restrictions to skilled migration have exacerbated existing issues. </w:t>
      </w:r>
    </w:p>
    <w:p w14:paraId="14444AE3" w14:textId="38984FA6" w:rsidR="006F5A71" w:rsidRPr="003C2824" w:rsidRDefault="006F5A71" w:rsidP="00037FA3">
      <w:pPr>
        <w:pStyle w:val="ListParagraph"/>
        <w:numPr>
          <w:ilvl w:val="1"/>
          <w:numId w:val="12"/>
        </w:numPr>
      </w:pPr>
      <w:r w:rsidRPr="003C2824">
        <w:t xml:space="preserve">Supply chain issues are </w:t>
      </w:r>
      <w:r w:rsidR="00037FA3" w:rsidRPr="003C2824">
        <w:t>significant</w:t>
      </w:r>
      <w:r w:rsidRPr="003C2824">
        <w:t xml:space="preserve"> for </w:t>
      </w:r>
      <w:r w:rsidR="00037FA3" w:rsidRPr="003C2824">
        <w:t>industries</w:t>
      </w:r>
      <w:r w:rsidRPr="003C2824">
        <w:t xml:space="preserve"> where equipment and material is required from overseas. The conflict in Europe has exacerbated pandemic pressures.</w:t>
      </w:r>
    </w:p>
    <w:p w14:paraId="1AF99958" w14:textId="77777777" w:rsidR="006F5A71" w:rsidRDefault="006F5A71" w:rsidP="00037FA3">
      <w:pPr>
        <w:pStyle w:val="ListParagraph"/>
        <w:numPr>
          <w:ilvl w:val="1"/>
          <w:numId w:val="12"/>
        </w:numPr>
      </w:pPr>
      <w:r w:rsidRPr="003C2824">
        <w:t>Domestic supply chains have been further impacted by recent flooding in Australia.</w:t>
      </w:r>
    </w:p>
    <w:p w14:paraId="441EFA7E" w14:textId="616FD72F" w:rsidR="0098271F" w:rsidRDefault="0098271F" w:rsidP="00B5470D">
      <w:pPr>
        <w:pStyle w:val="Heading4"/>
      </w:pPr>
      <w:r>
        <w:t>Roundtable Working Groups</w:t>
      </w:r>
    </w:p>
    <w:p w14:paraId="2CA7185F" w14:textId="6C268325" w:rsidR="006F5A71" w:rsidRPr="003C2824" w:rsidRDefault="006F5A71" w:rsidP="00037FA3">
      <w:pPr>
        <w:pStyle w:val="ListParagraph"/>
        <w:numPr>
          <w:ilvl w:val="0"/>
          <w:numId w:val="12"/>
        </w:numPr>
      </w:pPr>
      <w:r w:rsidRPr="003C2824">
        <w:t>Roundtable members will be invited to engage in two separate working groups for a detailed discussion and input on improvement projects; one related to the advance and overseas finding application process, and the other regarding improved promotion of registered research service providers</w:t>
      </w:r>
      <w:r w:rsidR="00872B9B">
        <w:t xml:space="preserve"> (RSPs)</w:t>
      </w:r>
      <w:r w:rsidRPr="003C2824">
        <w:t xml:space="preserve"> and opportunities to increase company awareness and access of RSPs. </w:t>
      </w:r>
    </w:p>
    <w:p w14:paraId="215EC7C2" w14:textId="4BDEE247" w:rsidR="006F5A71" w:rsidRDefault="006F5A71" w:rsidP="00037FA3">
      <w:pPr>
        <w:pStyle w:val="ListParagraph"/>
        <w:numPr>
          <w:ilvl w:val="0"/>
          <w:numId w:val="12"/>
        </w:numPr>
      </w:pPr>
      <w:r w:rsidRPr="003C2824">
        <w:t>The working groups will likely be held in late April/May.</w:t>
      </w:r>
    </w:p>
    <w:p w14:paraId="5C975EE3" w14:textId="77777777" w:rsidR="0098271F" w:rsidRDefault="0098271F" w:rsidP="00B5470D">
      <w:pPr>
        <w:ind w:left="360"/>
      </w:pPr>
    </w:p>
    <w:p w14:paraId="54188623" w14:textId="18596E18" w:rsidR="00037FA3" w:rsidRDefault="00037FA3" w:rsidP="00037FA3">
      <w:pPr>
        <w:jc w:val="center"/>
        <w:rPr>
          <w:b/>
        </w:rPr>
      </w:pPr>
      <w:r w:rsidRPr="00037FA3">
        <w:rPr>
          <w:b/>
        </w:rPr>
        <w:t>End of Summary</w:t>
      </w:r>
    </w:p>
    <w:p w14:paraId="1F57A4C8" w14:textId="5C96573D" w:rsidR="001017D9" w:rsidRDefault="001017D9" w:rsidP="00037FA3">
      <w:pPr>
        <w:jc w:val="center"/>
        <w:rPr>
          <w:b/>
        </w:rPr>
      </w:pPr>
    </w:p>
    <w:p w14:paraId="6E896900" w14:textId="77777777" w:rsidR="00E1716E" w:rsidRDefault="00E1716E">
      <w:pPr>
        <w:sectPr w:rsidR="00E1716E" w:rsidSect="00534C1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680" w:footer="284" w:gutter="0"/>
          <w:cols w:space="708"/>
          <w:titlePg/>
          <w:docGrid w:linePitch="360"/>
        </w:sectPr>
      </w:pPr>
      <w:r>
        <w:br w:type="page"/>
      </w:r>
    </w:p>
    <w:p w14:paraId="230B49E0" w14:textId="77777777" w:rsidR="00E1716E" w:rsidRPr="00E1716E" w:rsidRDefault="00E1716E" w:rsidP="00E1716E">
      <w:pPr>
        <w:keepNext/>
        <w:keepLines/>
        <w:spacing w:before="320" w:after="160" w:line="340" w:lineRule="atLeast"/>
        <w:outlineLvl w:val="1"/>
        <w:rPr>
          <w:rFonts w:asciiTheme="majorHAnsi" w:eastAsiaTheme="majorEastAsia" w:hAnsiTheme="majorHAnsi" w:cstheme="majorBidi"/>
          <w:b/>
          <w:color w:val="212A4C" w:themeColor="text2"/>
          <w:sz w:val="28"/>
          <w:szCs w:val="26"/>
        </w:rPr>
      </w:pPr>
      <w:r w:rsidRPr="00E1716E">
        <w:rPr>
          <w:rFonts w:asciiTheme="majorHAnsi" w:eastAsiaTheme="majorEastAsia" w:hAnsiTheme="majorHAnsi" w:cstheme="majorBidi"/>
          <w:b/>
          <w:color w:val="212A4C" w:themeColor="text2"/>
          <w:sz w:val="28"/>
          <w:szCs w:val="26"/>
        </w:rPr>
        <w:lastRenderedPageBreak/>
        <w:t>Appendix A</w:t>
      </w:r>
    </w:p>
    <w:p w14:paraId="031DEC2C" w14:textId="77777777" w:rsidR="00E1716E" w:rsidRPr="00E1716E" w:rsidRDefault="00E1716E" w:rsidP="00E1716E">
      <w:pPr>
        <w:keepNext/>
        <w:keepLines/>
        <w:spacing w:before="0" w:after="0" w:line="240" w:lineRule="auto"/>
        <w:contextualSpacing/>
        <w:jc w:val="center"/>
        <w:outlineLvl w:val="0"/>
        <w:rPr>
          <w:rFonts w:asciiTheme="majorHAnsi" w:eastAsiaTheme="majorEastAsia" w:hAnsiTheme="majorHAnsi" w:cstheme="majorBidi"/>
          <w:color w:val="212A4C" w:themeColor="text2"/>
          <w:spacing w:val="-10"/>
          <w:kern w:val="28"/>
          <w:sz w:val="52"/>
          <w:szCs w:val="52"/>
        </w:rPr>
      </w:pPr>
      <w:r w:rsidRPr="00E1716E">
        <w:rPr>
          <w:rFonts w:asciiTheme="majorHAnsi" w:eastAsiaTheme="majorEastAsia" w:hAnsiTheme="majorHAnsi" w:cstheme="majorBidi"/>
          <w:color w:val="212A4C" w:themeColor="text2"/>
          <w:spacing w:val="-10"/>
          <w:kern w:val="28"/>
          <w:sz w:val="52"/>
          <w:szCs w:val="52"/>
        </w:rPr>
        <w:t>R&amp;D Tax Incentive</w:t>
      </w:r>
      <w:r w:rsidRPr="00E1716E">
        <w:rPr>
          <w:rFonts w:asciiTheme="majorHAnsi" w:eastAsiaTheme="majorEastAsia" w:hAnsiTheme="majorHAnsi" w:cstheme="majorBidi"/>
          <w:color w:val="212A4C" w:themeColor="text2"/>
          <w:spacing w:val="-10"/>
          <w:kern w:val="28"/>
          <w:sz w:val="56"/>
          <w:szCs w:val="56"/>
        </w:rPr>
        <w:br/>
      </w:r>
      <w:r w:rsidRPr="00E1716E">
        <w:rPr>
          <w:rFonts w:asciiTheme="majorHAnsi" w:eastAsiaTheme="majorEastAsia" w:hAnsiTheme="majorHAnsi" w:cstheme="majorBidi"/>
          <w:color w:val="212A4C" w:themeColor="text2"/>
          <w:spacing w:val="-10"/>
          <w:kern w:val="28"/>
          <w:sz w:val="52"/>
          <w:szCs w:val="52"/>
        </w:rPr>
        <w:t>Program Update</w:t>
      </w:r>
    </w:p>
    <w:p w14:paraId="2DFA06A3" w14:textId="77777777" w:rsidR="00E1716E" w:rsidRPr="00E1716E" w:rsidRDefault="00E1716E" w:rsidP="00E1716E">
      <w:pPr>
        <w:pBdr>
          <w:top w:val="single" w:sz="4" w:space="14" w:color="DAECFA"/>
          <w:left w:val="single" w:sz="4" w:space="14" w:color="264F90" w:themeColor="accent2"/>
          <w:bottom w:val="single" w:sz="4" w:space="14" w:color="DAECFA"/>
          <w:right w:val="single" w:sz="4" w:space="14" w:color="DAECFA"/>
        </w:pBdr>
        <w:shd w:val="clear" w:color="auto" w:fill="DFE7F6"/>
        <w:spacing w:before="320" w:after="320" w:line="340" w:lineRule="atLeast"/>
        <w:ind w:left="284" w:right="284"/>
        <w:rPr>
          <w:iCs/>
          <w:color w:val="176CB5" w:themeColor="accent3"/>
          <w:sz w:val="24"/>
        </w:rPr>
      </w:pPr>
      <w:r w:rsidRPr="00E1716E">
        <w:rPr>
          <w:iCs/>
          <w:color w:val="176CB5" w:themeColor="accent3"/>
          <w:sz w:val="24"/>
        </w:rPr>
        <w:t>This program update covers:</w:t>
      </w:r>
    </w:p>
    <w:p w14:paraId="6BDD6CF6" w14:textId="77777777" w:rsidR="00E1716E" w:rsidRPr="00E1716E" w:rsidRDefault="00E1716E" w:rsidP="00E1716E">
      <w:pPr>
        <w:pBdr>
          <w:top w:val="single" w:sz="4" w:space="14" w:color="DAECFA"/>
          <w:left w:val="single" w:sz="4" w:space="14" w:color="264F90" w:themeColor="accent2"/>
          <w:bottom w:val="single" w:sz="4" w:space="14" w:color="DAECFA"/>
          <w:right w:val="single" w:sz="4" w:space="14" w:color="DAECFA"/>
        </w:pBdr>
        <w:shd w:val="clear" w:color="auto" w:fill="DFE7F6"/>
        <w:spacing w:before="0" w:after="0" w:line="340" w:lineRule="atLeast"/>
        <w:ind w:left="284" w:right="284"/>
        <w:rPr>
          <w:iCs/>
          <w:color w:val="176CB5" w:themeColor="accent3"/>
          <w:sz w:val="24"/>
        </w:rPr>
      </w:pPr>
      <w:r w:rsidRPr="00E1716E">
        <w:rPr>
          <w:iCs/>
          <w:color w:val="176CB5" w:themeColor="accent3"/>
          <w:sz w:val="24"/>
        </w:rPr>
        <w:t>1.</w:t>
      </w:r>
      <w:r w:rsidRPr="00E1716E">
        <w:rPr>
          <w:iCs/>
          <w:color w:val="176CB5" w:themeColor="accent3"/>
          <w:sz w:val="24"/>
        </w:rPr>
        <w:tab/>
      </w:r>
      <w:hyperlink w:anchor="_Determinations" w:history="1">
        <w:r w:rsidRPr="00E1716E">
          <w:rPr>
            <w:iCs/>
            <w:color w:val="0046FF" w:themeColor="hyperlink"/>
            <w:sz w:val="24"/>
            <w:u w:val="single"/>
          </w:rPr>
          <w:t>Determinations</w:t>
        </w:r>
      </w:hyperlink>
      <w:r w:rsidRPr="00E1716E">
        <w:rPr>
          <w:iCs/>
          <w:color w:val="176CB5" w:themeColor="accent3"/>
          <w:sz w:val="24"/>
        </w:rPr>
        <w:br/>
        <w:t>2.</w:t>
      </w:r>
      <w:r w:rsidRPr="00E1716E">
        <w:rPr>
          <w:iCs/>
          <w:color w:val="176CB5" w:themeColor="accent3"/>
          <w:sz w:val="24"/>
        </w:rPr>
        <w:tab/>
      </w:r>
      <w:hyperlink w:anchor="_Software_Guidance" w:history="1">
        <w:r w:rsidRPr="00E1716E">
          <w:rPr>
            <w:iCs/>
            <w:color w:val="0046FF" w:themeColor="hyperlink"/>
            <w:sz w:val="24"/>
            <w:u w:val="single"/>
          </w:rPr>
          <w:t>New software guidance</w:t>
        </w:r>
      </w:hyperlink>
      <w:r w:rsidRPr="00E1716E">
        <w:rPr>
          <w:iCs/>
          <w:color w:val="176CB5" w:themeColor="accent3"/>
          <w:sz w:val="24"/>
        </w:rPr>
        <w:br/>
        <w:t>3.</w:t>
      </w:r>
      <w:r w:rsidRPr="00E1716E">
        <w:rPr>
          <w:iCs/>
          <w:color w:val="176CB5" w:themeColor="accent3"/>
          <w:sz w:val="24"/>
        </w:rPr>
        <w:tab/>
      </w:r>
      <w:hyperlink w:anchor="_Customer_portal" w:history="1">
        <w:r w:rsidRPr="00E1716E">
          <w:rPr>
            <w:iCs/>
            <w:color w:val="0046FF" w:themeColor="hyperlink"/>
            <w:sz w:val="24"/>
            <w:u w:val="single"/>
          </w:rPr>
          <w:t>Customer portal</w:t>
        </w:r>
      </w:hyperlink>
      <w:r w:rsidRPr="00E1716E">
        <w:rPr>
          <w:iCs/>
          <w:color w:val="176CB5" w:themeColor="accent3"/>
          <w:sz w:val="24"/>
        </w:rPr>
        <w:br/>
        <w:t>4.</w:t>
      </w:r>
      <w:r w:rsidRPr="00E1716E">
        <w:rPr>
          <w:iCs/>
          <w:color w:val="176CB5" w:themeColor="accent3"/>
          <w:sz w:val="24"/>
        </w:rPr>
        <w:tab/>
      </w:r>
      <w:hyperlink w:anchor="_Legislation_updates" w:history="1">
        <w:r w:rsidRPr="00E1716E">
          <w:rPr>
            <w:iCs/>
            <w:color w:val="0046FF" w:themeColor="hyperlink"/>
            <w:sz w:val="24"/>
            <w:u w:val="single"/>
          </w:rPr>
          <w:t>Legislative updates</w:t>
        </w:r>
      </w:hyperlink>
      <w:r w:rsidRPr="00E1716E">
        <w:rPr>
          <w:iCs/>
          <w:color w:val="176CB5" w:themeColor="accent3"/>
          <w:sz w:val="24"/>
        </w:rPr>
        <w:br/>
        <w:t>5.</w:t>
      </w:r>
      <w:r w:rsidRPr="00E1716E">
        <w:rPr>
          <w:iCs/>
          <w:color w:val="176CB5" w:themeColor="accent3"/>
          <w:sz w:val="24"/>
        </w:rPr>
        <w:tab/>
      </w:r>
      <w:hyperlink w:anchor="_30_April_deadline" w:history="1">
        <w:r w:rsidRPr="00E1716E">
          <w:rPr>
            <w:iCs/>
            <w:color w:val="0046FF" w:themeColor="hyperlink"/>
            <w:sz w:val="24"/>
            <w:u w:val="single"/>
          </w:rPr>
          <w:t>30 April deadline advice</w:t>
        </w:r>
      </w:hyperlink>
      <w:r w:rsidRPr="00E1716E">
        <w:rPr>
          <w:iCs/>
          <w:color w:val="176CB5" w:themeColor="accent3"/>
          <w:sz w:val="24"/>
        </w:rPr>
        <w:br/>
        <w:t>6.</w:t>
      </w:r>
      <w:r w:rsidRPr="00E1716E">
        <w:rPr>
          <w:iCs/>
          <w:color w:val="176CB5" w:themeColor="accent3"/>
          <w:sz w:val="24"/>
        </w:rPr>
        <w:tab/>
      </w:r>
      <w:hyperlink w:anchor="_Research_Service_Provider" w:history="1">
        <w:r w:rsidRPr="00E1716E">
          <w:rPr>
            <w:iCs/>
            <w:color w:val="0046FF" w:themeColor="hyperlink"/>
            <w:sz w:val="24"/>
            <w:u w:val="single"/>
          </w:rPr>
          <w:t>Research Service Providers registration renewals</w:t>
        </w:r>
      </w:hyperlink>
      <w:r w:rsidRPr="00E1716E">
        <w:rPr>
          <w:iCs/>
          <w:color w:val="176CB5" w:themeColor="accent3"/>
          <w:sz w:val="24"/>
        </w:rPr>
        <w:br/>
        <w:t>7.</w:t>
      </w:r>
      <w:r w:rsidRPr="00E1716E">
        <w:rPr>
          <w:iCs/>
          <w:color w:val="176CB5" w:themeColor="accent3"/>
          <w:sz w:val="24"/>
        </w:rPr>
        <w:tab/>
      </w:r>
      <w:hyperlink w:anchor="_Large_Business_Review" w:history="1">
        <w:r w:rsidRPr="00E1716E">
          <w:rPr>
            <w:iCs/>
            <w:color w:val="0046FF" w:themeColor="hyperlink"/>
            <w:sz w:val="24"/>
            <w:u w:val="single"/>
          </w:rPr>
          <w:t>Large Business Review program</w:t>
        </w:r>
      </w:hyperlink>
    </w:p>
    <w:p w14:paraId="28AA10BB" w14:textId="77777777" w:rsidR="00E1716E" w:rsidRPr="00E1716E" w:rsidRDefault="00E1716E" w:rsidP="00E1716E">
      <w:pPr>
        <w:pBdr>
          <w:top w:val="single" w:sz="4" w:space="14" w:color="DAECFA"/>
          <w:left w:val="single" w:sz="4" w:space="14" w:color="264F90" w:themeColor="accent2"/>
          <w:bottom w:val="single" w:sz="4" w:space="14" w:color="DAECFA"/>
          <w:right w:val="single" w:sz="4" w:space="14" w:color="DAECFA"/>
        </w:pBdr>
        <w:shd w:val="clear" w:color="auto" w:fill="DFE7F6"/>
        <w:spacing w:before="0" w:after="0" w:line="340" w:lineRule="atLeast"/>
        <w:ind w:left="284" w:right="284"/>
        <w:rPr>
          <w:iCs/>
          <w:color w:val="176CB5" w:themeColor="accent3"/>
          <w:sz w:val="24"/>
        </w:rPr>
      </w:pPr>
      <w:r w:rsidRPr="00E1716E">
        <w:rPr>
          <w:iCs/>
          <w:color w:val="176CB5" w:themeColor="accent3"/>
          <w:sz w:val="24"/>
        </w:rPr>
        <w:t>8.</w:t>
      </w:r>
      <w:r w:rsidRPr="00E1716E">
        <w:rPr>
          <w:iCs/>
          <w:color w:val="176CB5" w:themeColor="accent3"/>
          <w:sz w:val="24"/>
        </w:rPr>
        <w:tab/>
      </w:r>
      <w:hyperlink w:anchor="_Registration_Data" w:history="1">
        <w:r w:rsidRPr="00E1716E">
          <w:rPr>
            <w:iCs/>
            <w:color w:val="0046FF" w:themeColor="hyperlink"/>
            <w:sz w:val="24"/>
            <w:u w:val="single"/>
          </w:rPr>
          <w:t>Registration data</w:t>
        </w:r>
      </w:hyperlink>
    </w:p>
    <w:p w14:paraId="1F50970C" w14:textId="77777777" w:rsidR="00E1716E" w:rsidRPr="00E1716E" w:rsidRDefault="00E1716E" w:rsidP="00E1716E">
      <w:pPr>
        <w:keepNext/>
        <w:keepLines/>
        <w:numPr>
          <w:ilvl w:val="0"/>
          <w:numId w:val="26"/>
        </w:numPr>
        <w:spacing w:before="320" w:after="160" w:line="420" w:lineRule="atLeast"/>
        <w:outlineLvl w:val="0"/>
        <w:rPr>
          <w:rFonts w:asciiTheme="majorHAnsi" w:eastAsiaTheme="majorEastAsia" w:hAnsiTheme="majorHAnsi" w:cstheme="majorBidi"/>
          <w:b/>
          <w:color w:val="264F90" w:themeColor="accent2"/>
          <w:sz w:val="36"/>
          <w:szCs w:val="32"/>
        </w:rPr>
      </w:pPr>
      <w:bookmarkStart w:id="19" w:name="_Determinations"/>
      <w:bookmarkEnd w:id="19"/>
      <w:r w:rsidRPr="00E1716E">
        <w:rPr>
          <w:rFonts w:asciiTheme="majorHAnsi" w:eastAsiaTheme="majorEastAsia" w:hAnsiTheme="majorHAnsi" w:cstheme="majorBidi"/>
          <w:b/>
          <w:color w:val="264F90" w:themeColor="accent2"/>
          <w:sz w:val="36"/>
          <w:szCs w:val="32"/>
        </w:rPr>
        <w:t>Determinations</w:t>
      </w:r>
    </w:p>
    <w:p w14:paraId="71BF7B47" w14:textId="77777777" w:rsidR="00E1716E" w:rsidRPr="00E1716E" w:rsidRDefault="00E1716E" w:rsidP="00E1716E">
      <w:pPr>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What is a determination?</w:t>
      </w:r>
    </w:p>
    <w:p w14:paraId="59E93D6A" w14:textId="77777777" w:rsidR="00E1716E" w:rsidRPr="00E1716E" w:rsidRDefault="00E1716E" w:rsidP="00FD5EF3">
      <w:pPr>
        <w:contextualSpacing/>
      </w:pPr>
      <w:r w:rsidRPr="00E1716E">
        <w:t>What is a determination? Enhancements to the R&amp;D Tax Incentive program empower the Industry, Innovation and Science Australia Board to make determinations. A determination sets out how the Board will exercise its powers and duties under the Industry Research and Development Act 1986 (IR&amp;D Act) when administering the R&amp;D Tax Incentive program. When a determination is in force, it is binding on the Board and its delegates as well as the Commissioner for Taxation. A determination may, for instance, provide businesses with certainty that activities that are the subject of the determination meet the requirements for being ‘core R&amp;D activities’ under the R&amp;D Tax Incentive. Additionally, some determinations will facilitate access to the program by reducing the amount of information required in applications. Determinations may streamline compliance and provide certainty for companies conducting activities that fit within a determination.</w:t>
      </w:r>
    </w:p>
    <w:p w14:paraId="63E5F7A1" w14:textId="77777777" w:rsidR="00E1716E" w:rsidRPr="00E1716E" w:rsidRDefault="00E1716E" w:rsidP="00FD5EF3">
      <w:pPr>
        <w:ind w:left="720"/>
        <w:contextualSpacing/>
      </w:pPr>
    </w:p>
    <w:p w14:paraId="0859B974" w14:textId="77777777" w:rsidR="00E1716E" w:rsidRPr="00E1716E" w:rsidRDefault="00E1716E" w:rsidP="00FD5EF3">
      <w:pPr>
        <w:contextualSpacing/>
      </w:pPr>
      <w:r w:rsidRPr="00E1716E">
        <w:t>The first determination offers certainty that phase 0, I, II III, pre-market pilot stage and/or pre-market pivotal stage clinical trials for unapproved therapeutic goods are ‘core R&amp;D activities.’</w:t>
      </w:r>
    </w:p>
    <w:p w14:paraId="752C4212" w14:textId="77777777" w:rsidR="00E1716E" w:rsidRPr="00E1716E" w:rsidRDefault="00E1716E" w:rsidP="00E1716E">
      <w:pPr>
        <w:keepNext/>
        <w:keepLines/>
        <w:spacing w:before="320" w:after="160"/>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Consultation update</w:t>
      </w:r>
    </w:p>
    <w:p w14:paraId="3DEFAFD0" w14:textId="77777777" w:rsidR="00E1716E" w:rsidRPr="00E1716E" w:rsidRDefault="00E1716E" w:rsidP="00FD5EF3">
      <w:pPr>
        <w:contextualSpacing/>
      </w:pPr>
      <w:bookmarkStart w:id="20" w:name="_Software_Guidance"/>
      <w:bookmarkEnd w:id="20"/>
      <w:r w:rsidRPr="00E1716E">
        <w:t xml:space="preserve">On 20 January 2022, the Minister for Industry, Energy and Emissions Reduction, the Minister for Health, and the Treasurer launched public consultation on the program’s first determination. The draft </w:t>
      </w:r>
      <w:r w:rsidRPr="00E1716E">
        <w:rPr>
          <w:i/>
          <w:iCs/>
        </w:rPr>
        <w:t>Industry Research and Development (clinical trials, Phase 0, I, II, III, pre-market pilot stage, pre-market pivotal stage, for an unapproved therapeutic good) Determination 2022</w:t>
      </w:r>
      <w:r w:rsidRPr="00E1716E" w:rsidDel="005D604F">
        <w:t xml:space="preserve"> </w:t>
      </w:r>
      <w:r w:rsidRPr="00E1716E">
        <w:t xml:space="preserve">will facilitate applications for certain clinical trials and streamline administration. Consultation activities included two online briefing sessions, which were well attended and included representative from the ATO, Department of Health and Health sector, and AusTrade. Consultation closed on 17 February 2022, with submissions received from 11 entities including large tax agents and consulting companies, industry associations, and the BioTech sector. It is anticipated that, once </w:t>
      </w:r>
      <w:r w:rsidRPr="00E1716E">
        <w:lastRenderedPageBreak/>
        <w:t xml:space="preserve">consultation input has been integrated, the determination come into effect within the next month. The release of the determination will be accompanied by guidance on how to apply the determination when registering for the program. </w:t>
      </w:r>
    </w:p>
    <w:p w14:paraId="2F38A165" w14:textId="77777777" w:rsidR="00E1716E" w:rsidRPr="00E1716E" w:rsidRDefault="00E1716E" w:rsidP="00E1716E">
      <w:pPr>
        <w:keepNext/>
        <w:keepLines/>
        <w:numPr>
          <w:ilvl w:val="0"/>
          <w:numId w:val="26"/>
        </w:numPr>
        <w:spacing w:before="320" w:after="160" w:line="420" w:lineRule="atLeast"/>
        <w:outlineLvl w:val="0"/>
        <w:rPr>
          <w:rFonts w:asciiTheme="majorHAnsi" w:eastAsiaTheme="majorEastAsia" w:hAnsiTheme="majorHAnsi" w:cstheme="majorBidi"/>
          <w:b/>
          <w:color w:val="264F90" w:themeColor="accent2"/>
          <w:sz w:val="36"/>
          <w:szCs w:val="32"/>
        </w:rPr>
      </w:pPr>
      <w:r w:rsidRPr="00E1716E">
        <w:rPr>
          <w:rFonts w:asciiTheme="majorHAnsi" w:eastAsiaTheme="majorEastAsia" w:hAnsiTheme="majorHAnsi" w:cstheme="majorBidi"/>
          <w:b/>
          <w:color w:val="264F90" w:themeColor="accent2"/>
          <w:sz w:val="36"/>
          <w:szCs w:val="32"/>
        </w:rPr>
        <w:t>Software Guidance</w:t>
      </w:r>
    </w:p>
    <w:p w14:paraId="2A946993" w14:textId="77777777" w:rsidR="00E1716E" w:rsidRPr="00E1716E" w:rsidRDefault="00E1716E" w:rsidP="00E1716E">
      <w:r w:rsidRPr="00E1716E">
        <w:t xml:space="preserve">In March 2022, the Department expects to release its latest guidance for the R&amp;D Tax Incentive program: </w:t>
      </w:r>
      <w:r w:rsidRPr="00E1716E">
        <w:rPr>
          <w:i/>
          <w:iCs/>
        </w:rPr>
        <w:t>Software-related activities and the Research and Development Tax Incentive</w:t>
      </w:r>
      <w:r w:rsidRPr="00E1716E">
        <w:t xml:space="preserve">. This new guide aims to assist businesses conducting software-related R&amp;D to more accurately self-assess the eligibility of their activities under the program. </w:t>
      </w:r>
    </w:p>
    <w:p w14:paraId="1AA2E3A1" w14:textId="77777777" w:rsidR="00E1716E" w:rsidRPr="00E1716E" w:rsidRDefault="00E1716E" w:rsidP="00E1716E">
      <w:r w:rsidRPr="00E1716E">
        <w:t>The new software guide has been co-designed with stakeholders that possess a deep understanding of the software development sector. Public consultation was sought from 17 May to 18 June 2021 and attracted 26 industry submissions. The Department continues to work actively with the Techn Council of Australia and the Australian Taxation Office, the program’s joint administrator, to develop new guidance for software-related activities.</w:t>
      </w:r>
    </w:p>
    <w:p w14:paraId="760345F1" w14:textId="77777777" w:rsidR="00E1716E" w:rsidRPr="00E1716E" w:rsidRDefault="00E1716E" w:rsidP="00E1716E">
      <w:r w:rsidRPr="00E1716E">
        <w:t xml:space="preserve">Key updates to the new software guide include: </w:t>
      </w:r>
    </w:p>
    <w:p w14:paraId="769F2010" w14:textId="77777777" w:rsidR="00E1716E" w:rsidRPr="00E1716E" w:rsidRDefault="00E1716E" w:rsidP="00FD5EF3">
      <w:pPr>
        <w:pStyle w:val="ListParagraph"/>
        <w:numPr>
          <w:ilvl w:val="0"/>
          <w:numId w:val="27"/>
        </w:numPr>
        <w:spacing w:before="80"/>
      </w:pPr>
      <w:r w:rsidRPr="00E1716E">
        <w:t>additional software-specific R&amp;D examples</w:t>
      </w:r>
    </w:p>
    <w:p w14:paraId="519E0D35" w14:textId="77777777" w:rsidR="00E1716E" w:rsidRPr="00E1716E" w:rsidRDefault="00E1716E" w:rsidP="00FD5EF3">
      <w:pPr>
        <w:pStyle w:val="ListParagraph"/>
        <w:numPr>
          <w:ilvl w:val="0"/>
          <w:numId w:val="27"/>
        </w:numPr>
        <w:spacing w:before="80"/>
      </w:pPr>
      <w:r w:rsidRPr="00E1716E">
        <w:t>revised case study to provide additional detail and illustrate the self-assessment process using the customer portal registration form</w:t>
      </w:r>
    </w:p>
    <w:p w14:paraId="376D8CC9" w14:textId="77777777" w:rsidR="00E1716E" w:rsidRPr="00E1716E" w:rsidRDefault="00E1716E" w:rsidP="00FD5EF3">
      <w:pPr>
        <w:pStyle w:val="ListParagraph"/>
        <w:numPr>
          <w:ilvl w:val="0"/>
          <w:numId w:val="27"/>
        </w:numPr>
        <w:spacing w:before="80"/>
      </w:pPr>
      <w:r w:rsidRPr="00E1716E">
        <w:t>updated guidance regarding the software exclusion to align it with all other exclusions listed in subsection 355-25(2) of the ITAA 1997 (NB: core R&amp;D activities subject to the software activity exclusion may still be assessed as supporting R&amp;D activities)</w:t>
      </w:r>
    </w:p>
    <w:p w14:paraId="00BECF65" w14:textId="77777777" w:rsidR="00E1716E" w:rsidRPr="00E1716E" w:rsidRDefault="00E1716E" w:rsidP="00FD5EF3">
      <w:pPr>
        <w:pStyle w:val="ListParagraph"/>
        <w:numPr>
          <w:ilvl w:val="0"/>
          <w:numId w:val="27"/>
        </w:numPr>
        <w:spacing w:before="80"/>
      </w:pPr>
      <w:r w:rsidRPr="00E1716E">
        <w:t>providing links to supporting resources.</w:t>
      </w:r>
    </w:p>
    <w:p w14:paraId="3326F709" w14:textId="77777777" w:rsidR="00E1716E" w:rsidRPr="00E1716E" w:rsidRDefault="00E1716E" w:rsidP="00E1716E">
      <w:r w:rsidRPr="00E1716E">
        <w:rPr>
          <w:i/>
          <w:iCs/>
        </w:rPr>
        <w:t>Software-related activities and the Research and Development Tax Incentive</w:t>
      </w:r>
      <w:r w:rsidRPr="00E1716E">
        <w:t xml:space="preserve"> is the first of several modules planned to help businesses assess the eligibility of their software activities. Future modules will include:</w:t>
      </w:r>
    </w:p>
    <w:p w14:paraId="78DFE796" w14:textId="77777777" w:rsidR="00E1716E" w:rsidRPr="00E1716E" w:rsidRDefault="00E1716E" w:rsidP="00FD5EF3">
      <w:pPr>
        <w:pStyle w:val="ListParagraph"/>
        <w:numPr>
          <w:ilvl w:val="0"/>
          <w:numId w:val="28"/>
        </w:numPr>
        <w:spacing w:before="80"/>
      </w:pPr>
      <w:r w:rsidRPr="00E1716E">
        <w:t>record-keeping in software-development</w:t>
      </w:r>
    </w:p>
    <w:p w14:paraId="40C47099" w14:textId="77777777" w:rsidR="00E1716E" w:rsidRPr="00E1716E" w:rsidRDefault="00E1716E" w:rsidP="00FD5EF3">
      <w:pPr>
        <w:pStyle w:val="ListParagraph"/>
        <w:numPr>
          <w:ilvl w:val="0"/>
          <w:numId w:val="28"/>
        </w:numPr>
        <w:spacing w:before="80"/>
      </w:pPr>
      <w:r w:rsidRPr="00E1716E">
        <w:t>sector-specific case studies</w:t>
      </w:r>
    </w:p>
    <w:p w14:paraId="4B206CA2" w14:textId="77777777" w:rsidR="00E1716E" w:rsidRPr="00E1716E" w:rsidRDefault="00E1716E" w:rsidP="00FD5EF3">
      <w:pPr>
        <w:pStyle w:val="ListParagraph"/>
        <w:numPr>
          <w:ilvl w:val="0"/>
          <w:numId w:val="28"/>
        </w:numPr>
        <w:spacing w:before="80"/>
      </w:pPr>
      <w:r w:rsidRPr="00E1716E">
        <w:t>expanded reference to prominent classes of software-related R&amp;D activities</w:t>
      </w:r>
    </w:p>
    <w:p w14:paraId="35F44E88" w14:textId="77777777" w:rsidR="00E1716E" w:rsidRPr="00E1716E" w:rsidRDefault="00E1716E" w:rsidP="00FD5EF3">
      <w:pPr>
        <w:pStyle w:val="ListParagraph"/>
        <w:numPr>
          <w:ilvl w:val="0"/>
          <w:numId w:val="28"/>
        </w:numPr>
        <w:spacing w:before="80"/>
      </w:pPr>
      <w:r w:rsidRPr="00E1716E">
        <w:t>video content designed to support applicant registrations.</w:t>
      </w:r>
    </w:p>
    <w:p w14:paraId="78757C69" w14:textId="77777777" w:rsidR="00E1716E" w:rsidRPr="00E1716E" w:rsidRDefault="00E1716E" w:rsidP="00FD5EF3">
      <w:r w:rsidRPr="00E1716E">
        <w:t>The new software guide is due to be released in March 2022 and will be available on the business.gov.au website. Access will be facilitated through the Department’s various communication channels.</w:t>
      </w:r>
    </w:p>
    <w:p w14:paraId="4E32D383" w14:textId="77777777" w:rsidR="00E1716E" w:rsidRPr="00E1716E" w:rsidRDefault="00E1716E" w:rsidP="00E1716E">
      <w:pPr>
        <w:keepNext/>
        <w:keepLines/>
        <w:numPr>
          <w:ilvl w:val="0"/>
          <w:numId w:val="26"/>
        </w:numPr>
        <w:spacing w:before="320" w:after="160" w:line="420" w:lineRule="atLeast"/>
        <w:outlineLvl w:val="0"/>
        <w:rPr>
          <w:rFonts w:asciiTheme="majorHAnsi" w:eastAsiaTheme="majorEastAsia" w:hAnsiTheme="majorHAnsi" w:cstheme="majorBidi"/>
          <w:b/>
          <w:color w:val="264F90" w:themeColor="accent2"/>
          <w:sz w:val="36"/>
          <w:szCs w:val="32"/>
        </w:rPr>
      </w:pPr>
      <w:bookmarkStart w:id="21" w:name="_Customer_portal"/>
      <w:bookmarkEnd w:id="21"/>
      <w:r w:rsidRPr="00E1716E">
        <w:rPr>
          <w:rFonts w:asciiTheme="majorHAnsi" w:eastAsiaTheme="majorEastAsia" w:hAnsiTheme="majorHAnsi" w:cstheme="majorBidi"/>
          <w:b/>
          <w:color w:val="264F90" w:themeColor="accent2"/>
          <w:sz w:val="36"/>
          <w:szCs w:val="32"/>
        </w:rPr>
        <w:t>Customer portal</w:t>
      </w:r>
    </w:p>
    <w:p w14:paraId="0EE91CBD" w14:textId="77777777" w:rsidR="00E1716E" w:rsidRPr="00E1716E" w:rsidRDefault="00E1716E" w:rsidP="00E1716E">
      <w:r w:rsidRPr="00E1716E">
        <w:t xml:space="preserve">On 27 February 2022, a set of enhancements were made to the R&amp;D Tax Incentive Customer Portal. This release included the following changes: </w:t>
      </w:r>
    </w:p>
    <w:p w14:paraId="20003177" w14:textId="77777777" w:rsidR="00E1716E" w:rsidRPr="00E1716E" w:rsidRDefault="00E1716E" w:rsidP="00FD5EF3">
      <w:pPr>
        <w:pStyle w:val="ListParagraph"/>
        <w:numPr>
          <w:ilvl w:val="0"/>
          <w:numId w:val="29"/>
        </w:numPr>
        <w:spacing w:before="80"/>
        <w:rPr>
          <w:lang w:eastAsia="en-AU"/>
        </w:rPr>
      </w:pPr>
      <w:r w:rsidRPr="00E1716E">
        <w:rPr>
          <w:lang w:eastAsia="en-AU"/>
        </w:rPr>
        <w:t>ability to download a drafted Registration or Advance and Overseas Finding application form directly from the application dashboard</w:t>
      </w:r>
    </w:p>
    <w:p w14:paraId="42765B8D" w14:textId="77777777" w:rsidR="00E1716E" w:rsidRPr="00E1716E" w:rsidRDefault="00E1716E" w:rsidP="00FD5EF3">
      <w:pPr>
        <w:pStyle w:val="ListParagraph"/>
        <w:numPr>
          <w:ilvl w:val="0"/>
          <w:numId w:val="29"/>
        </w:numPr>
        <w:spacing w:before="80"/>
        <w:rPr>
          <w:lang w:eastAsia="en-AU"/>
        </w:rPr>
      </w:pPr>
      <w:r w:rsidRPr="00E1716E">
        <w:rPr>
          <w:lang w:eastAsia="en-AU"/>
        </w:rPr>
        <w:t>updated submission deadlines to next business day when they fall on a weekend or public holiday</w:t>
      </w:r>
    </w:p>
    <w:p w14:paraId="51A30856" w14:textId="77777777" w:rsidR="00E1716E" w:rsidRPr="00E1716E" w:rsidRDefault="00E1716E" w:rsidP="00FD5EF3">
      <w:pPr>
        <w:pStyle w:val="ListParagraph"/>
        <w:numPr>
          <w:ilvl w:val="0"/>
          <w:numId w:val="29"/>
        </w:numPr>
        <w:spacing w:before="80"/>
      </w:pPr>
      <w:r w:rsidRPr="00E1716E">
        <w:t xml:space="preserve">activities undertaken by a Research Service Provider or Corporative Research Centre will now need to complete </w:t>
      </w:r>
      <w:r w:rsidRPr="00FD5EF3">
        <w:rPr>
          <w:u w:val="single"/>
        </w:rPr>
        <w:t>all</w:t>
      </w:r>
      <w:r w:rsidRPr="00E1716E">
        <w:t xml:space="preserve"> core or supporting activity questions – not a subset as previously required.  </w:t>
      </w:r>
    </w:p>
    <w:p w14:paraId="7683BC75" w14:textId="77777777" w:rsidR="00E1716E" w:rsidRPr="00E1716E" w:rsidRDefault="00E1716E" w:rsidP="00E1716E">
      <w:r w:rsidRPr="00E1716E">
        <w:t xml:space="preserve">No other major updates are planned for the customer portal for the remainder of 2022. There will be a minor release in June 2022 to update the Australian and New Zealand Standard Research Classification (ANZSRC) codes. This change will align the portal with the remade </w:t>
      </w:r>
      <w:r w:rsidRPr="00E1716E">
        <w:rPr>
          <w:i/>
        </w:rPr>
        <w:t>Industry Research and Development Regulations 2011</w:t>
      </w:r>
      <w:r w:rsidRPr="00E1716E">
        <w:t xml:space="preserve"> </w:t>
      </w:r>
      <w:r w:rsidRPr="00E1716E">
        <w:lastRenderedPageBreak/>
        <w:t>by updating the ANZSRC classification codes from the 2008 version to the 2020 version. (See below for further information on the changes to the programs legislative instruments).</w:t>
      </w:r>
    </w:p>
    <w:p w14:paraId="36E1BFF4" w14:textId="77777777" w:rsidR="00E1716E" w:rsidRPr="00E1716E" w:rsidRDefault="00E1716E" w:rsidP="00E1716E">
      <w:r w:rsidRPr="00E1716E">
        <w:t>The Department is currently considering implementing improvements to the Advance and Overseas Finding (AOF) form in 2023. The aim would be to better integrate the AOF form with the application for registration and to reduce the need for follow up requests for information to assess AOF requests. A working group will be established to investigate options and provide feedback on potential changes.</w:t>
      </w:r>
    </w:p>
    <w:p w14:paraId="0D8DB967" w14:textId="77777777" w:rsidR="00E1716E" w:rsidRPr="00E1716E" w:rsidRDefault="00E1716E" w:rsidP="00E1716E">
      <w:r w:rsidRPr="00E1716E">
        <w:t xml:space="preserve">If further updates to the portal are required in 2022, a notification will be placed on our portal help and support </w:t>
      </w:r>
      <w:hyperlink r:id="rId15" w:history="1">
        <w:r w:rsidRPr="00E1716E">
          <w:rPr>
            <w:color w:val="0046FF" w:themeColor="hyperlink"/>
            <w:u w:val="single"/>
          </w:rPr>
          <w:t>webpage</w:t>
        </w:r>
      </w:hyperlink>
      <w:r w:rsidRPr="00E1716E">
        <w:t xml:space="preserve"> together with updates at the next Roundtable and State Reference Group meetings. </w:t>
      </w:r>
    </w:p>
    <w:p w14:paraId="110E5C05" w14:textId="77777777" w:rsidR="00E1716E" w:rsidRPr="00E1716E" w:rsidRDefault="00E1716E" w:rsidP="00E1716E">
      <w:pPr>
        <w:keepNext/>
        <w:keepLines/>
        <w:numPr>
          <w:ilvl w:val="0"/>
          <w:numId w:val="26"/>
        </w:numPr>
        <w:spacing w:before="320" w:after="160" w:line="420" w:lineRule="atLeast"/>
        <w:outlineLvl w:val="0"/>
        <w:rPr>
          <w:rFonts w:asciiTheme="majorHAnsi" w:eastAsiaTheme="majorEastAsia" w:hAnsiTheme="majorHAnsi" w:cstheme="majorBidi"/>
          <w:b/>
          <w:color w:val="264F90" w:themeColor="accent2"/>
          <w:sz w:val="36"/>
          <w:szCs w:val="32"/>
        </w:rPr>
      </w:pPr>
      <w:bookmarkStart w:id="22" w:name="_Legislation_updates"/>
      <w:bookmarkEnd w:id="22"/>
      <w:r w:rsidRPr="00E1716E">
        <w:rPr>
          <w:rFonts w:asciiTheme="majorHAnsi" w:eastAsiaTheme="majorEastAsia" w:hAnsiTheme="majorHAnsi" w:cstheme="majorBidi"/>
          <w:b/>
          <w:color w:val="264F90" w:themeColor="accent2"/>
          <w:sz w:val="36"/>
          <w:szCs w:val="32"/>
        </w:rPr>
        <w:t>Legislation updates</w:t>
      </w:r>
    </w:p>
    <w:p w14:paraId="6EECD6BF" w14:textId="77777777" w:rsidR="00E1716E" w:rsidRPr="00E1716E" w:rsidRDefault="00E1716E" w:rsidP="00E1716E">
      <w:pPr>
        <w:keepNext/>
        <w:keepLines/>
        <w:spacing w:before="320" w:after="160"/>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Remaking instruments due to sunset on 1 April 2022</w:t>
      </w:r>
    </w:p>
    <w:p w14:paraId="0EF760AA" w14:textId="77777777" w:rsidR="00E1716E" w:rsidRPr="00E1716E" w:rsidRDefault="00E1716E" w:rsidP="00E1716E">
      <w:r w:rsidRPr="00E1716E">
        <w:t xml:space="preserve">The </w:t>
      </w:r>
      <w:r w:rsidRPr="00E1716E">
        <w:rPr>
          <w:i/>
        </w:rPr>
        <w:t>Industry Research and Development Regulations 2011</w:t>
      </w:r>
      <w:r w:rsidRPr="00E1716E">
        <w:t xml:space="preserve"> and the </w:t>
      </w:r>
      <w:r w:rsidRPr="00E1716E">
        <w:rPr>
          <w:i/>
        </w:rPr>
        <w:t>Industry Research Decision-making Principles 2011</w:t>
      </w:r>
      <w:r w:rsidRPr="00E1716E">
        <w:t xml:space="preserve"> under the </w:t>
      </w:r>
      <w:r w:rsidRPr="00E1716E">
        <w:rPr>
          <w:i/>
        </w:rPr>
        <w:t>Industry Research and Development Act 1986</w:t>
      </w:r>
      <w:r w:rsidRPr="00E1716E">
        <w:t xml:space="preserve"> are expected to be remade before they are due to sunset on 1 April 2022, with minimal changes to ensure continuity of R&amp;D Tax Incentive program administration. Once the 2022 instruments are made, the 2011 versions will cease to have effect. </w:t>
      </w:r>
    </w:p>
    <w:p w14:paraId="4344163A" w14:textId="77777777" w:rsidR="00E1716E" w:rsidRPr="00E1716E" w:rsidRDefault="00E1716E" w:rsidP="00E1716E">
      <w:r w:rsidRPr="00E1716E">
        <w:t>The Regulations set out matters relating to approved forms, findings certificates, and criteria for research service providers. The Decision-making Principles apply in relation to decisions in relation to extensions of time, refusal to make requested findings, and variations of registrations.</w:t>
      </w:r>
    </w:p>
    <w:p w14:paraId="261578F4" w14:textId="77777777" w:rsidR="00E1716E" w:rsidRPr="00E1716E" w:rsidRDefault="00E1716E" w:rsidP="00E1716E">
      <w:pPr>
        <w:keepNext/>
        <w:keepLines/>
        <w:spacing w:before="320" w:after="160"/>
        <w:outlineLvl w:val="3"/>
        <w:rPr>
          <w:rFonts w:asciiTheme="majorHAnsi" w:eastAsiaTheme="majorEastAsia" w:hAnsiTheme="majorHAnsi" w:cstheme="majorBidi"/>
          <w:b/>
          <w:iCs/>
          <w:color w:val="212A4C" w:themeColor="text2"/>
          <w:szCs w:val="24"/>
        </w:rPr>
      </w:pPr>
      <w:r w:rsidRPr="00E1716E">
        <w:rPr>
          <w:rFonts w:asciiTheme="majorHAnsi" w:eastAsiaTheme="majorEastAsia" w:hAnsiTheme="majorHAnsi" w:cstheme="majorBidi"/>
          <w:b/>
          <w:iCs/>
          <w:color w:val="212A4C" w:themeColor="text2"/>
          <w:szCs w:val="24"/>
        </w:rPr>
        <w:t>Likely key changes - Regulations</w:t>
      </w:r>
    </w:p>
    <w:tbl>
      <w:tblPr>
        <w:tblW w:w="0" w:type="auto"/>
        <w:tblInd w:w="-10" w:type="dxa"/>
        <w:tblLayout w:type="fixed"/>
        <w:tblCellMar>
          <w:left w:w="0" w:type="dxa"/>
          <w:right w:w="0" w:type="dxa"/>
        </w:tblCellMar>
        <w:tblLook w:val="04A0" w:firstRow="1" w:lastRow="0" w:firstColumn="1" w:lastColumn="0" w:noHBand="0" w:noVBand="1"/>
      </w:tblPr>
      <w:tblGrid>
        <w:gridCol w:w="5032"/>
        <w:gridCol w:w="5033"/>
      </w:tblGrid>
      <w:tr w:rsidR="00E1716E" w:rsidRPr="00E1716E" w14:paraId="6D1B34F6" w14:textId="77777777" w:rsidTr="00E1716E">
        <w:tc>
          <w:tcPr>
            <w:tcW w:w="5032" w:type="dxa"/>
            <w:tcBorders>
              <w:top w:val="single" w:sz="8" w:space="0" w:color="auto"/>
              <w:left w:val="single" w:sz="8" w:space="0" w:color="auto"/>
              <w:bottom w:val="single" w:sz="8" w:space="0" w:color="auto"/>
              <w:right w:val="single" w:sz="8" w:space="0" w:color="auto"/>
            </w:tcBorders>
            <w:shd w:val="clear" w:color="auto" w:fill="DFE7F6"/>
            <w:tcMar>
              <w:top w:w="0" w:type="dxa"/>
              <w:left w:w="108" w:type="dxa"/>
              <w:bottom w:w="0" w:type="dxa"/>
              <w:right w:w="108" w:type="dxa"/>
            </w:tcMar>
            <w:hideMark/>
          </w:tcPr>
          <w:p w14:paraId="20CDDFDD" w14:textId="77777777" w:rsidR="00E1716E" w:rsidRPr="00E1716E" w:rsidRDefault="00E1716E" w:rsidP="00E1716E">
            <w:pPr>
              <w:rPr>
                <w:rFonts w:ascii="Times New Roman" w:hAnsi="Times New Roman" w:cs="Times New Roman"/>
                <w:b/>
                <w:i/>
              </w:rPr>
            </w:pPr>
            <w:r w:rsidRPr="00E1716E">
              <w:rPr>
                <w:b/>
                <w:i/>
              </w:rPr>
              <w:t>Industry Research and Development</w:t>
            </w:r>
            <w:r w:rsidRPr="00E1716E">
              <w:rPr>
                <w:b/>
                <w:i/>
              </w:rPr>
              <w:br/>
              <w:t>Regulations 2022</w:t>
            </w:r>
          </w:p>
        </w:tc>
        <w:tc>
          <w:tcPr>
            <w:tcW w:w="5033" w:type="dxa"/>
            <w:tcBorders>
              <w:top w:val="single" w:sz="8" w:space="0" w:color="auto"/>
              <w:left w:val="nil"/>
              <w:bottom w:val="single" w:sz="8" w:space="0" w:color="auto"/>
              <w:right w:val="single" w:sz="8" w:space="0" w:color="auto"/>
            </w:tcBorders>
            <w:shd w:val="clear" w:color="auto" w:fill="DFE7F6"/>
            <w:tcMar>
              <w:top w:w="0" w:type="dxa"/>
              <w:left w:w="108" w:type="dxa"/>
              <w:bottom w:w="0" w:type="dxa"/>
              <w:right w:w="108" w:type="dxa"/>
            </w:tcMar>
            <w:hideMark/>
          </w:tcPr>
          <w:p w14:paraId="1511F61B" w14:textId="77777777" w:rsidR="00E1716E" w:rsidRPr="00E1716E" w:rsidRDefault="00E1716E" w:rsidP="00E1716E">
            <w:pPr>
              <w:rPr>
                <w:rFonts w:ascii="Calibri" w:hAnsi="Calibri" w:cs="Calibri"/>
                <w:b/>
                <w:i/>
              </w:rPr>
            </w:pPr>
            <w:r w:rsidRPr="00E1716E">
              <w:rPr>
                <w:b/>
                <w:i/>
              </w:rPr>
              <w:t>Industry Research and Development Regulations 2011</w:t>
            </w:r>
          </w:p>
        </w:tc>
      </w:tr>
      <w:tr w:rsidR="00E1716E" w:rsidRPr="00E1716E" w14:paraId="47F995D7" w14:textId="77777777" w:rsidTr="00E1716E">
        <w:tc>
          <w:tcPr>
            <w:tcW w:w="5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BA253" w14:textId="77777777" w:rsidR="00E1716E" w:rsidRPr="00E1716E" w:rsidRDefault="00E1716E" w:rsidP="00E1716E">
            <w:r w:rsidRPr="00E1716E">
              <w:t xml:space="preserve">Research Service Providers register against field of research classifications mentioned in the Australian and New Zealand Standard Research Classification (ANZSRC) 2020 </w:t>
            </w:r>
          </w:p>
        </w:tc>
        <w:tc>
          <w:tcPr>
            <w:tcW w:w="5033" w:type="dxa"/>
            <w:tcBorders>
              <w:top w:val="nil"/>
              <w:left w:val="nil"/>
              <w:bottom w:val="single" w:sz="8" w:space="0" w:color="auto"/>
              <w:right w:val="single" w:sz="8" w:space="0" w:color="auto"/>
            </w:tcBorders>
            <w:tcMar>
              <w:top w:w="0" w:type="dxa"/>
              <w:left w:w="108" w:type="dxa"/>
              <w:bottom w:w="0" w:type="dxa"/>
              <w:right w:w="108" w:type="dxa"/>
            </w:tcMar>
            <w:hideMark/>
          </w:tcPr>
          <w:p w14:paraId="6A1F25CA" w14:textId="77777777" w:rsidR="00E1716E" w:rsidRPr="00E1716E" w:rsidRDefault="00E1716E" w:rsidP="00E1716E">
            <w:r w:rsidRPr="00E1716E">
              <w:t xml:space="preserve">Research Service Providers register against field of research classifications mentioned in the Australian and New Zealand Standard Research Classification (ANZSRC) 2008 </w:t>
            </w:r>
          </w:p>
        </w:tc>
      </w:tr>
      <w:tr w:rsidR="00E1716E" w:rsidRPr="00E1716E" w14:paraId="391013EC" w14:textId="77777777" w:rsidTr="00E1716E">
        <w:tc>
          <w:tcPr>
            <w:tcW w:w="50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642AE" w14:textId="77777777" w:rsidR="00E1716E" w:rsidRPr="00E1716E" w:rsidRDefault="00E1716E" w:rsidP="00E1716E">
            <w:r w:rsidRPr="00E1716E">
              <w:t xml:space="preserve">Research Service Providers are no longer required to demonstrate that they are ‘competent’, as described in Subsection 3.02(3) under the Industry Research and Development Regulations 2011. </w:t>
            </w:r>
          </w:p>
        </w:tc>
        <w:tc>
          <w:tcPr>
            <w:tcW w:w="5033" w:type="dxa"/>
            <w:tcBorders>
              <w:top w:val="nil"/>
              <w:left w:val="nil"/>
              <w:bottom w:val="single" w:sz="8" w:space="0" w:color="auto"/>
              <w:right w:val="single" w:sz="8" w:space="0" w:color="auto"/>
            </w:tcBorders>
            <w:tcMar>
              <w:top w:w="0" w:type="dxa"/>
              <w:left w:w="108" w:type="dxa"/>
              <w:bottom w:w="0" w:type="dxa"/>
              <w:right w:w="108" w:type="dxa"/>
            </w:tcMar>
            <w:hideMark/>
          </w:tcPr>
          <w:p w14:paraId="1E68E46E" w14:textId="77777777" w:rsidR="00E1716E" w:rsidRPr="00E1716E" w:rsidRDefault="00E1716E" w:rsidP="00E1716E">
            <w:r w:rsidRPr="00E1716E">
              <w:t>Research Service Providers are required to demonstrate that they are ‘competent’, as described in Subsection 3.02(3), in addition to other criteria and conditions.</w:t>
            </w:r>
          </w:p>
        </w:tc>
      </w:tr>
    </w:tbl>
    <w:p w14:paraId="38D914E9" w14:textId="77777777" w:rsidR="00E1716E" w:rsidRPr="00E1716E" w:rsidRDefault="00E1716E" w:rsidP="00E1716E">
      <w:pPr>
        <w:keepNext/>
        <w:keepLines/>
        <w:spacing w:before="320" w:after="160"/>
        <w:outlineLvl w:val="3"/>
        <w:rPr>
          <w:rFonts w:asciiTheme="majorHAnsi" w:eastAsiaTheme="majorEastAsia" w:hAnsiTheme="majorHAnsi" w:cstheme="majorBidi"/>
          <w:b/>
          <w:iCs/>
          <w:color w:val="212A4C" w:themeColor="text2"/>
          <w:szCs w:val="24"/>
        </w:rPr>
      </w:pPr>
      <w:r w:rsidRPr="00E1716E">
        <w:rPr>
          <w:rFonts w:asciiTheme="majorHAnsi" w:eastAsiaTheme="majorEastAsia" w:hAnsiTheme="majorHAnsi" w:cstheme="majorBidi"/>
          <w:b/>
          <w:iCs/>
          <w:color w:val="212A4C" w:themeColor="text2"/>
          <w:szCs w:val="24"/>
        </w:rPr>
        <w:t>Likely key changes – Decision-making Principles</w:t>
      </w:r>
    </w:p>
    <w:tbl>
      <w:tblPr>
        <w:tblW w:w="10065" w:type="dxa"/>
        <w:tblInd w:w="-10" w:type="dxa"/>
        <w:tblCellMar>
          <w:left w:w="0" w:type="dxa"/>
          <w:right w:w="0" w:type="dxa"/>
        </w:tblCellMar>
        <w:tblLook w:val="04A0" w:firstRow="1" w:lastRow="0" w:firstColumn="1" w:lastColumn="0" w:noHBand="0" w:noVBand="1"/>
      </w:tblPr>
      <w:tblGrid>
        <w:gridCol w:w="5032"/>
        <w:gridCol w:w="5033"/>
      </w:tblGrid>
      <w:tr w:rsidR="00E1716E" w:rsidRPr="00E1716E" w14:paraId="00024252" w14:textId="77777777" w:rsidTr="00E1716E">
        <w:tc>
          <w:tcPr>
            <w:tcW w:w="5032" w:type="dxa"/>
            <w:tcBorders>
              <w:top w:val="single" w:sz="8" w:space="0" w:color="auto"/>
              <w:left w:val="single" w:sz="8" w:space="0" w:color="auto"/>
              <w:bottom w:val="single" w:sz="8" w:space="0" w:color="auto"/>
              <w:right w:val="single" w:sz="8" w:space="0" w:color="auto"/>
            </w:tcBorders>
            <w:shd w:val="clear" w:color="auto" w:fill="DFE7F6"/>
            <w:tcMar>
              <w:top w:w="0" w:type="dxa"/>
              <w:left w:w="108" w:type="dxa"/>
              <w:bottom w:w="0" w:type="dxa"/>
              <w:right w:w="108" w:type="dxa"/>
            </w:tcMar>
            <w:hideMark/>
          </w:tcPr>
          <w:p w14:paraId="7B03EFC1" w14:textId="77777777" w:rsidR="00E1716E" w:rsidRPr="00E1716E" w:rsidRDefault="00E1716E" w:rsidP="00E1716E">
            <w:pPr>
              <w:rPr>
                <w:rFonts w:ascii="Times New Roman" w:hAnsi="Times New Roman" w:cs="Times New Roman"/>
                <w:b/>
              </w:rPr>
            </w:pPr>
            <w:r w:rsidRPr="00E1716E">
              <w:rPr>
                <w:b/>
              </w:rPr>
              <w:t>New Law</w:t>
            </w:r>
          </w:p>
        </w:tc>
        <w:tc>
          <w:tcPr>
            <w:tcW w:w="5033" w:type="dxa"/>
            <w:tcBorders>
              <w:top w:val="single" w:sz="8" w:space="0" w:color="auto"/>
              <w:left w:val="nil"/>
              <w:bottom w:val="single" w:sz="8" w:space="0" w:color="auto"/>
              <w:right w:val="single" w:sz="8" w:space="0" w:color="auto"/>
            </w:tcBorders>
            <w:shd w:val="clear" w:color="auto" w:fill="DFE7F6"/>
            <w:tcMar>
              <w:top w:w="0" w:type="dxa"/>
              <w:left w:w="108" w:type="dxa"/>
              <w:bottom w:w="0" w:type="dxa"/>
              <w:right w:w="108" w:type="dxa"/>
            </w:tcMar>
            <w:hideMark/>
          </w:tcPr>
          <w:p w14:paraId="6111B965" w14:textId="77777777" w:rsidR="00E1716E" w:rsidRPr="00E1716E" w:rsidRDefault="00E1716E" w:rsidP="00E1716E">
            <w:pPr>
              <w:rPr>
                <w:rFonts w:ascii="Calibri" w:hAnsi="Calibri" w:cs="Calibri"/>
                <w:b/>
              </w:rPr>
            </w:pPr>
            <w:r w:rsidRPr="00E1716E">
              <w:rPr>
                <w:b/>
              </w:rPr>
              <w:t>Current Law</w:t>
            </w:r>
          </w:p>
        </w:tc>
      </w:tr>
      <w:tr w:rsidR="00E1716E" w:rsidRPr="00E1716E" w14:paraId="22C8AE8A" w14:textId="77777777" w:rsidTr="00E1716E">
        <w:tc>
          <w:tcPr>
            <w:tcW w:w="5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6E31B" w14:textId="77777777" w:rsidR="00E1716E" w:rsidRPr="00E1716E" w:rsidRDefault="00E1716E" w:rsidP="00E1716E">
            <w:r w:rsidRPr="00E1716E">
              <w:t>Extensions of time are typically limited to 92 days.</w:t>
            </w:r>
          </w:p>
        </w:tc>
        <w:tc>
          <w:tcPr>
            <w:tcW w:w="5033" w:type="dxa"/>
            <w:tcBorders>
              <w:top w:val="nil"/>
              <w:left w:val="nil"/>
              <w:bottom w:val="single" w:sz="8" w:space="0" w:color="auto"/>
              <w:right w:val="single" w:sz="8" w:space="0" w:color="auto"/>
            </w:tcBorders>
            <w:tcMar>
              <w:top w:w="0" w:type="dxa"/>
              <w:left w:w="108" w:type="dxa"/>
              <w:bottom w:w="0" w:type="dxa"/>
              <w:right w:w="108" w:type="dxa"/>
            </w:tcMar>
            <w:hideMark/>
          </w:tcPr>
          <w:p w14:paraId="1033802B" w14:textId="77777777" w:rsidR="00E1716E" w:rsidRPr="00E1716E" w:rsidRDefault="00E1716E" w:rsidP="00E1716E">
            <w:r w:rsidRPr="00E1716E">
              <w:t>Extensions of time are typically limited to three months.</w:t>
            </w:r>
          </w:p>
        </w:tc>
      </w:tr>
    </w:tbl>
    <w:p w14:paraId="07DCB176" w14:textId="77777777" w:rsidR="00E1716E" w:rsidRPr="00E1716E" w:rsidRDefault="00E1716E" w:rsidP="00E1716E">
      <w:r w:rsidRPr="00E1716E">
        <w:t>The Regulations and Decision</w:t>
      </w:r>
      <w:r w:rsidRPr="00E1716E">
        <w:noBreakHyphen/>
        <w:t xml:space="preserve">making Principles are an important part of the Research and Development Tax Incentive and can be accessed from </w:t>
      </w:r>
      <w:r w:rsidRPr="00E1716E">
        <w:rPr>
          <w:i/>
        </w:rPr>
        <w:t>legislation.gov.au</w:t>
      </w:r>
      <w:r w:rsidRPr="00E1716E">
        <w:t>.</w:t>
      </w:r>
    </w:p>
    <w:p w14:paraId="3890C0BA" w14:textId="77777777" w:rsidR="00E1716E" w:rsidRPr="00E1716E" w:rsidRDefault="00E1716E" w:rsidP="00E1716E">
      <w:pPr>
        <w:keepNext/>
        <w:keepLines/>
        <w:spacing w:before="320" w:after="160"/>
        <w:ind w:left="66"/>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lastRenderedPageBreak/>
        <w:t>Patent box tax offset</w:t>
      </w:r>
    </w:p>
    <w:p w14:paraId="243E76A4" w14:textId="77777777" w:rsidR="00E1716E" w:rsidRPr="00E1716E" w:rsidRDefault="00E1716E" w:rsidP="00E1716E">
      <w:r w:rsidRPr="00E1716E">
        <w:t xml:space="preserve">The patent box legislation, </w:t>
      </w:r>
      <w:r w:rsidRPr="00E1716E">
        <w:rPr>
          <w:i/>
        </w:rPr>
        <w:t>Treasury Laws Amendment (Tax Concession for Australian Medical Innovations) Bill 2022,</w:t>
      </w:r>
      <w:r w:rsidRPr="00E1716E">
        <w:t xml:space="preserve"> was introduced into the House of Representatives on 10 February 2022. This legislation provides preferential tax treatment to R&amp;D entities from 1 July 2022 on income derived from patents granted or issued after 11 May 2021 for medical or biotechnology innovations, to the extent that they are underpinned by R&amp;D activities conducted in Australia with the support of the R&amp;D Tax Incentive. For more information, please go to the Bills page of the aph.gov.au </w:t>
      </w:r>
      <w:hyperlink r:id="rId16" w:history="1">
        <w:r w:rsidRPr="00E1716E">
          <w:rPr>
            <w:color w:val="0046FF" w:themeColor="hyperlink"/>
            <w:u w:val="single"/>
          </w:rPr>
          <w:t>website</w:t>
        </w:r>
      </w:hyperlink>
      <w:r w:rsidRPr="00E1716E">
        <w:t>.</w:t>
      </w:r>
    </w:p>
    <w:p w14:paraId="0B5A279B" w14:textId="77777777" w:rsidR="00E1716E" w:rsidRPr="00E1716E" w:rsidRDefault="00E1716E" w:rsidP="00E1716E">
      <w:pPr>
        <w:keepNext/>
        <w:keepLines/>
        <w:spacing w:before="320" w:after="160"/>
        <w:ind w:left="66"/>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Digital Games Tax Offset (DGTO)</w:t>
      </w:r>
    </w:p>
    <w:p w14:paraId="1CAE175D" w14:textId="77777777" w:rsidR="00E1716E" w:rsidRPr="00E1716E" w:rsidRDefault="00E1716E" w:rsidP="00E1716E">
      <w:r w:rsidRPr="00E1716E">
        <w:t xml:space="preserve">The Government remains on track to release exposure draft legislation and draft explanatory memorandum on the DGTO for public comment in the first quarter of 2022. We anticipate the consultation period will last about a month and will be available on the Treasury website in due course. </w:t>
      </w:r>
    </w:p>
    <w:p w14:paraId="5DC30B26" w14:textId="77777777" w:rsidR="00E1716E" w:rsidRPr="00E1716E" w:rsidRDefault="00E1716E" w:rsidP="00E1716E">
      <w:pPr>
        <w:keepNext/>
        <w:keepLines/>
        <w:numPr>
          <w:ilvl w:val="0"/>
          <w:numId w:val="26"/>
        </w:numPr>
        <w:spacing w:before="320" w:after="160" w:line="420" w:lineRule="atLeast"/>
        <w:outlineLvl w:val="0"/>
        <w:rPr>
          <w:rFonts w:asciiTheme="majorHAnsi" w:eastAsiaTheme="majorEastAsia" w:hAnsiTheme="majorHAnsi" w:cstheme="majorBidi"/>
          <w:b/>
          <w:color w:val="264F90" w:themeColor="accent2"/>
          <w:sz w:val="36"/>
          <w:szCs w:val="32"/>
        </w:rPr>
      </w:pPr>
      <w:bookmarkStart w:id="23" w:name="_30_April_deadline"/>
      <w:bookmarkEnd w:id="23"/>
      <w:r w:rsidRPr="00E1716E">
        <w:rPr>
          <w:rFonts w:asciiTheme="majorHAnsi" w:eastAsiaTheme="majorEastAsia" w:hAnsiTheme="majorHAnsi" w:cstheme="majorBidi"/>
          <w:b/>
          <w:color w:val="264F90" w:themeColor="accent2"/>
          <w:sz w:val="36"/>
          <w:szCs w:val="32"/>
        </w:rPr>
        <w:t>30 April deadline advice</w:t>
      </w:r>
    </w:p>
    <w:p w14:paraId="1E8F8BC5" w14:textId="77777777" w:rsidR="00E1716E" w:rsidRPr="00E1716E" w:rsidRDefault="00E1716E" w:rsidP="00E1716E">
      <w:r w:rsidRPr="00E1716E">
        <w:t xml:space="preserve">The R&amp;DTI deadline for applicants with a financial year that ended on 30 June 2021 is </w:t>
      </w:r>
      <w:r w:rsidRPr="00E1716E">
        <w:rPr>
          <w:b/>
          <w:bCs/>
        </w:rPr>
        <w:t>3 May 2022</w:t>
      </w:r>
      <w:r w:rsidRPr="00E1716E">
        <w:t>. This deadline has been amended from 30 April 2022 as it falls on a Saturday and because the next business day is a public holiday in Queensland and the Northern Territory.</w:t>
      </w:r>
    </w:p>
    <w:p w14:paraId="03F1CBAD" w14:textId="77777777" w:rsidR="00E1716E" w:rsidRPr="00E1716E" w:rsidRDefault="00E1716E" w:rsidP="00E1716E">
      <w:r w:rsidRPr="00E1716E">
        <w:t>From 5 July 2021 all R&amp;DTI applications must be submitted through the new customer portal. Registration processing during 2021 indicated that many applicants did not allow sufficient time to set up their customer portal account to enable their application to be submitted by the statutory deadline. This resulted in a high number of last-minute calls to our contact centre and many avoidable requests for an extension of time.</w:t>
      </w:r>
    </w:p>
    <w:p w14:paraId="6E1F6DC8" w14:textId="77777777" w:rsidR="00E1716E" w:rsidRPr="00E1716E" w:rsidRDefault="00E1716E" w:rsidP="00E1716E">
      <w:r w:rsidRPr="00E1716E">
        <w:t>To avoid significant processing delays created by numerous extension of time requests in the peak April period, we are advising applicants to establish portal access well ahead of the 3 May deadline. We also ask that tax agents and R&amp;D consultants remind their clients that the principal authority for an R&amp;D entity must first establish access to the portal before they are able to grant authority for others to access the portal on their behalf.</w:t>
      </w:r>
    </w:p>
    <w:p w14:paraId="46C38BDD" w14:textId="77777777" w:rsidR="00E1716E" w:rsidRPr="00E1716E" w:rsidRDefault="00E1716E" w:rsidP="00E1716E">
      <w:r w:rsidRPr="00E1716E">
        <w:t xml:space="preserve">An information campaign to advise program applicants of the multi-step process to access the portal is underway. Notifications are occurring through social media posts, e-newsletters and portal information sessions. </w:t>
      </w:r>
      <w:hyperlink r:id="rId17">
        <w:r w:rsidRPr="00E1716E">
          <w:rPr>
            <w:color w:val="0046FF" w:themeColor="hyperlink"/>
            <w:szCs w:val="22"/>
            <w:u w:val="single"/>
          </w:rPr>
          <w:t>Step by step instructions</w:t>
        </w:r>
      </w:hyperlink>
      <w:r w:rsidRPr="00E1716E">
        <w:t> to access the portal for the first time can be found on the business.gov.au website.</w:t>
      </w:r>
    </w:p>
    <w:p w14:paraId="56D98103" w14:textId="77777777" w:rsidR="00E1716E" w:rsidRPr="00E1716E" w:rsidRDefault="00E1716E" w:rsidP="00E1716E">
      <w:pPr>
        <w:pBdr>
          <w:top w:val="single" w:sz="4" w:space="14" w:color="DAECFA"/>
          <w:left w:val="single" w:sz="4" w:space="14" w:color="264F90" w:themeColor="accent2"/>
          <w:bottom w:val="single" w:sz="4" w:space="14" w:color="DAECFA"/>
          <w:right w:val="single" w:sz="4" w:space="14" w:color="DAECFA"/>
        </w:pBdr>
        <w:shd w:val="clear" w:color="auto" w:fill="DFE7F6"/>
        <w:spacing w:before="320" w:after="320" w:line="340" w:lineRule="atLeast"/>
        <w:ind w:left="284" w:right="284"/>
        <w:rPr>
          <w:iCs/>
          <w:color w:val="176CB5" w:themeColor="accent3"/>
          <w:sz w:val="24"/>
        </w:rPr>
      </w:pPr>
      <w:r w:rsidRPr="00E1716E">
        <w:rPr>
          <w:iCs/>
          <w:color w:val="176CB5" w:themeColor="accent3"/>
          <w:sz w:val="24"/>
        </w:rPr>
        <w:t>To access the R&amp;DTI customer portal, the entity’s Principal Authority must set up a myGovID and connect this to the entity’s ABN through the ATO’s Relationship Authorisation Manager (RAM). This essential step must be completed by the Principal Authority before any employees, tax agents or consultants can be authorised to access the portal on the entity’s behalf.</w:t>
      </w:r>
    </w:p>
    <w:p w14:paraId="71374739" w14:textId="77777777" w:rsidR="00E1716E" w:rsidRPr="00E1716E" w:rsidRDefault="00E1716E" w:rsidP="00E1716E">
      <w:pPr>
        <w:pBdr>
          <w:top w:val="single" w:sz="4" w:space="14" w:color="DAECFA"/>
          <w:left w:val="single" w:sz="4" w:space="14" w:color="264F90" w:themeColor="accent2"/>
          <w:bottom w:val="single" w:sz="4" w:space="14" w:color="DAECFA"/>
          <w:right w:val="single" w:sz="4" w:space="14" w:color="DAECFA"/>
        </w:pBdr>
        <w:shd w:val="clear" w:color="auto" w:fill="DFE7F6"/>
        <w:spacing w:before="320" w:after="320" w:line="340" w:lineRule="atLeast"/>
        <w:ind w:left="284" w:right="284"/>
        <w:rPr>
          <w:iCs/>
          <w:color w:val="176CB5" w:themeColor="accent3"/>
          <w:sz w:val="24"/>
        </w:rPr>
      </w:pPr>
      <w:r w:rsidRPr="00E1716E">
        <w:rPr>
          <w:iCs/>
          <w:color w:val="176CB5" w:themeColor="accent3"/>
          <w:sz w:val="24"/>
        </w:rPr>
        <w:t xml:space="preserve">Portal access must be established </w:t>
      </w:r>
      <w:r w:rsidRPr="00E1716E">
        <w:rPr>
          <w:b/>
          <w:bCs/>
          <w:iCs/>
          <w:color w:val="176CB5" w:themeColor="accent3"/>
          <w:sz w:val="24"/>
        </w:rPr>
        <w:t>before</w:t>
      </w:r>
      <w:r w:rsidRPr="00E1716E">
        <w:rPr>
          <w:iCs/>
          <w:color w:val="176CB5" w:themeColor="accent3"/>
          <w:sz w:val="24"/>
        </w:rPr>
        <w:t xml:space="preserve"> an R&amp;DTI application can be submitted. </w:t>
      </w:r>
      <w:hyperlink r:id="rId18">
        <w:r w:rsidRPr="00E1716E">
          <w:rPr>
            <w:iCs/>
            <w:color w:val="0046FF" w:themeColor="hyperlink"/>
            <w:sz w:val="24"/>
            <w:u w:val="single"/>
          </w:rPr>
          <w:t>Help and support</w:t>
        </w:r>
      </w:hyperlink>
      <w:r w:rsidRPr="00E1716E">
        <w:rPr>
          <w:iCs/>
          <w:color w:val="176CB5" w:themeColor="accent3"/>
          <w:sz w:val="24"/>
        </w:rPr>
        <w:t xml:space="preserve"> and step-by-step guidance is available on the business.gov.au website.</w:t>
      </w:r>
    </w:p>
    <w:p w14:paraId="5036EA11" w14:textId="03DA9ED1" w:rsidR="00E1716E" w:rsidRPr="00E1716E" w:rsidRDefault="00E1716E" w:rsidP="00FD5EF3">
      <w:pPr>
        <w:rPr>
          <w:rFonts w:asciiTheme="majorHAnsi" w:eastAsiaTheme="majorEastAsia" w:hAnsiTheme="majorHAnsi" w:cstheme="majorBidi"/>
          <w:color w:val="264F90" w:themeColor="accent2"/>
          <w:sz w:val="24"/>
          <w:szCs w:val="24"/>
        </w:rPr>
      </w:pPr>
      <w:r w:rsidRPr="00E1716E">
        <w:br w:type="page"/>
      </w:r>
      <w:r w:rsidRPr="00E1716E">
        <w:rPr>
          <w:rFonts w:asciiTheme="majorHAnsi" w:eastAsiaTheme="majorEastAsia" w:hAnsiTheme="majorHAnsi" w:cstheme="majorBidi"/>
          <w:color w:val="264F90" w:themeColor="accent2"/>
          <w:sz w:val="24"/>
          <w:szCs w:val="24"/>
        </w:rPr>
        <w:lastRenderedPageBreak/>
        <w:t>Hints and tips for applying</w:t>
      </w:r>
    </w:p>
    <w:p w14:paraId="65BE5C79" w14:textId="77777777" w:rsidR="00E1716E" w:rsidRPr="00E1716E" w:rsidRDefault="00E1716E" w:rsidP="00E1716E">
      <w:r w:rsidRPr="00E1716E">
        <w:t>Since July 2021 we've processed over 5,000 applications in the customer portal and offer the following tips:</w:t>
      </w:r>
    </w:p>
    <w:p w14:paraId="52EE870A" w14:textId="77777777" w:rsidR="00E1716E" w:rsidRPr="00E1716E" w:rsidRDefault="00E1716E" w:rsidP="00FD5EF3">
      <w:pPr>
        <w:pStyle w:val="ListParagraph"/>
        <w:numPr>
          <w:ilvl w:val="0"/>
          <w:numId w:val="30"/>
        </w:numPr>
        <w:spacing w:before="80"/>
      </w:pPr>
      <w:r w:rsidRPr="00E1716E">
        <w:t xml:space="preserve">When completing your application in the customer portal, remember to save your work regularly as the portal will not save automatically. </w:t>
      </w:r>
    </w:p>
    <w:p w14:paraId="23BF78DB" w14:textId="77777777" w:rsidR="00E1716E" w:rsidRPr="00E1716E" w:rsidRDefault="00E1716E" w:rsidP="00FD5EF3">
      <w:pPr>
        <w:pStyle w:val="ListParagraph"/>
        <w:numPr>
          <w:ilvl w:val="0"/>
          <w:numId w:val="30"/>
        </w:numPr>
        <w:spacing w:before="80"/>
      </w:pPr>
      <w:r w:rsidRPr="00E1716E">
        <w:t xml:space="preserve">Ensure you select the correct financial year before starting your application. </w:t>
      </w:r>
    </w:p>
    <w:p w14:paraId="038C2475" w14:textId="77777777" w:rsidR="00E1716E" w:rsidRPr="00E1716E" w:rsidRDefault="00E1716E" w:rsidP="00FD5EF3">
      <w:pPr>
        <w:pStyle w:val="ListParagraph"/>
        <w:numPr>
          <w:ilvl w:val="0"/>
          <w:numId w:val="30"/>
        </w:numPr>
        <w:spacing w:before="80"/>
      </w:pPr>
      <w:r w:rsidRPr="00E1716E">
        <w:t>You can</w:t>
      </w:r>
      <w:r w:rsidRPr="00E1716E">
        <w:rPr>
          <w:lang w:eastAsia="en-AU"/>
        </w:rPr>
        <w:t xml:space="preserve"> change the </w:t>
      </w:r>
      <w:r w:rsidRPr="00E1716E">
        <w:t>financial</w:t>
      </w:r>
      <w:r w:rsidRPr="00E1716E">
        <w:rPr>
          <w:lang w:eastAsia="en-AU"/>
        </w:rPr>
        <w:t xml:space="preserve"> year for a draft application by deleting the draft application in the portal and beginning a new application for the correct </w:t>
      </w:r>
      <w:r w:rsidRPr="00E1716E">
        <w:t>financial</w:t>
      </w:r>
      <w:r w:rsidRPr="00E1716E">
        <w:rPr>
          <w:lang w:eastAsia="en-AU"/>
        </w:rPr>
        <w:t xml:space="preserve"> year.</w:t>
      </w:r>
    </w:p>
    <w:p w14:paraId="325F4724" w14:textId="77777777" w:rsidR="00E1716E" w:rsidRPr="00E1716E" w:rsidRDefault="00E1716E" w:rsidP="00FD5EF3">
      <w:pPr>
        <w:pStyle w:val="ListParagraph"/>
        <w:numPr>
          <w:ilvl w:val="0"/>
          <w:numId w:val="30"/>
        </w:numPr>
        <w:spacing w:before="80"/>
      </w:pPr>
      <w:r w:rsidRPr="00E1716E">
        <w:t>If you have requested an overseas finding, and submit your registration application before the finding is made, include the overseas activities in your application (noting a finding has been requested).</w:t>
      </w:r>
    </w:p>
    <w:p w14:paraId="0C38F11F" w14:textId="77777777" w:rsidR="00E1716E" w:rsidRPr="00E1716E" w:rsidRDefault="00E1716E" w:rsidP="00FD5EF3">
      <w:pPr>
        <w:pStyle w:val="ListParagraph"/>
        <w:numPr>
          <w:ilvl w:val="0"/>
          <w:numId w:val="30"/>
        </w:numPr>
        <w:spacing w:before="80"/>
      </w:pPr>
      <w:r w:rsidRPr="00E1716E">
        <w:t>There’s no need to vary your application to include advance and overseas finding numbers as they will be in our application system.</w:t>
      </w:r>
    </w:p>
    <w:p w14:paraId="7F86D8D9" w14:textId="77777777" w:rsidR="00E1716E" w:rsidRPr="00E1716E" w:rsidRDefault="00E1716E" w:rsidP="00FD5EF3">
      <w:pPr>
        <w:pStyle w:val="ListParagraph"/>
        <w:numPr>
          <w:ilvl w:val="0"/>
          <w:numId w:val="30"/>
        </w:numPr>
        <w:spacing w:before="80"/>
      </w:pPr>
      <w:r w:rsidRPr="00E1716E">
        <w:t xml:space="preserve">All requests for an extension of time must be submitted through the portal. </w:t>
      </w:r>
    </w:p>
    <w:p w14:paraId="7339EB93" w14:textId="77777777" w:rsidR="00E1716E" w:rsidRPr="00E1716E" w:rsidRDefault="00E1716E" w:rsidP="00FD5EF3">
      <w:pPr>
        <w:pStyle w:val="ListParagraph"/>
        <w:numPr>
          <w:ilvl w:val="1"/>
          <w:numId w:val="30"/>
        </w:numPr>
        <w:spacing w:before="80"/>
      </w:pPr>
      <w:r w:rsidRPr="00E1716E">
        <w:t xml:space="preserve">For requests of 14 days or less, you will need to explain the reason for your request and demonstrate that 14 days will be sufficient to submit your application. 14 day extensions will be automatically approved if they are requested BEFORE the deadline. </w:t>
      </w:r>
    </w:p>
    <w:p w14:paraId="100F523A" w14:textId="77777777" w:rsidR="00E1716E" w:rsidRPr="00E1716E" w:rsidRDefault="00E1716E" w:rsidP="00FD5EF3">
      <w:pPr>
        <w:pStyle w:val="ListParagraph"/>
        <w:numPr>
          <w:ilvl w:val="1"/>
          <w:numId w:val="30"/>
        </w:numPr>
        <w:spacing w:before="80"/>
      </w:pPr>
      <w:r w:rsidRPr="00E1716E">
        <w:t xml:space="preserve">For extensions requests made AFTER the deadline, or for longer periods, you must also provide evidence to support your reason for the request. </w:t>
      </w:r>
    </w:p>
    <w:p w14:paraId="36D23D3C" w14:textId="77777777" w:rsidR="00E1716E" w:rsidRPr="00E1716E" w:rsidRDefault="00E1716E" w:rsidP="00FD5EF3">
      <w:pPr>
        <w:pStyle w:val="ListParagraph"/>
        <w:numPr>
          <w:ilvl w:val="1"/>
          <w:numId w:val="30"/>
        </w:numPr>
        <w:spacing w:before="80"/>
      </w:pPr>
      <w:r w:rsidRPr="00E1716E">
        <w:t>Remember, extensions of time cannot exceed 92 days after the statutory deadline (and only 90 days under the 2011 Decision-making principles – refer section 4 above)</w:t>
      </w:r>
    </w:p>
    <w:p w14:paraId="3A83E92F" w14:textId="77777777" w:rsidR="00E1716E" w:rsidRPr="00E1716E" w:rsidRDefault="00E1716E" w:rsidP="00E1716E">
      <w:pPr>
        <w:keepNext/>
        <w:keepLines/>
        <w:spacing w:before="320" w:after="160"/>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Help and support</w:t>
      </w:r>
    </w:p>
    <w:p w14:paraId="7195875D" w14:textId="77777777" w:rsidR="00E1716E" w:rsidRPr="00E1716E" w:rsidRDefault="00E1716E" w:rsidP="00E1716E">
      <w:r w:rsidRPr="00E1716E">
        <w:t>Help and support for the customer portal can be accessed online at:</w:t>
      </w:r>
    </w:p>
    <w:p w14:paraId="100120F4" w14:textId="77777777" w:rsidR="007B766B" w:rsidRDefault="006261A7" w:rsidP="007B766B">
      <w:pPr>
        <w:pStyle w:val="ListParagraph"/>
        <w:numPr>
          <w:ilvl w:val="0"/>
          <w:numId w:val="31"/>
        </w:numPr>
        <w:spacing w:before="80"/>
      </w:pPr>
      <w:hyperlink r:id="rId19">
        <w:r w:rsidR="00E1716E" w:rsidRPr="007B766B">
          <w:rPr>
            <w:color w:val="0046FF" w:themeColor="hyperlink"/>
            <w:szCs w:val="22"/>
            <w:u w:val="single"/>
          </w:rPr>
          <w:t>help and support</w:t>
        </w:r>
      </w:hyperlink>
      <w:r w:rsidR="00E1716E" w:rsidRPr="007B766B">
        <w:rPr>
          <w:sz w:val="18"/>
        </w:rPr>
        <w:t xml:space="preserve"> </w:t>
      </w:r>
      <w:r w:rsidR="00E1716E" w:rsidRPr="00E1716E">
        <w:t xml:space="preserve">pages on business.gov.au </w:t>
      </w:r>
    </w:p>
    <w:p w14:paraId="3D4B8751" w14:textId="1659E22C" w:rsidR="00E1716E" w:rsidRPr="007B766B" w:rsidRDefault="00E1716E" w:rsidP="007B766B">
      <w:pPr>
        <w:pStyle w:val="ListParagraph"/>
        <w:numPr>
          <w:ilvl w:val="0"/>
          <w:numId w:val="31"/>
        </w:numPr>
        <w:spacing w:before="80"/>
      </w:pPr>
      <w:r w:rsidRPr="00E1716E">
        <w:t xml:space="preserve">an information session - </w:t>
      </w:r>
      <w:hyperlink r:id="rId20">
        <w:r w:rsidRPr="007B766B">
          <w:rPr>
            <w:color w:val="0046FF" w:themeColor="hyperlink"/>
            <w:szCs w:val="22"/>
            <w:u w:val="single"/>
          </w:rPr>
          <w:t>Guide to the accessing the customer portal</w:t>
        </w:r>
      </w:hyperlink>
    </w:p>
    <w:p w14:paraId="15931648" w14:textId="77777777" w:rsidR="00E1716E" w:rsidRPr="00E1716E" w:rsidRDefault="00E1716E" w:rsidP="00E1716E">
      <w:r w:rsidRPr="00E1716E">
        <w:t>Or you can call for assistance:</w:t>
      </w:r>
    </w:p>
    <w:p w14:paraId="46CA7231" w14:textId="77777777" w:rsidR="00E1716E" w:rsidRPr="00E1716E" w:rsidRDefault="00E1716E" w:rsidP="007B766B">
      <w:pPr>
        <w:pStyle w:val="ListParagraph"/>
        <w:numPr>
          <w:ilvl w:val="0"/>
          <w:numId w:val="32"/>
        </w:numPr>
        <w:spacing w:before="80"/>
      </w:pPr>
      <w:r w:rsidRPr="00E1716E">
        <w:t>setting up your myGovID or RAM – contact the ATO at 1300 287 539</w:t>
      </w:r>
    </w:p>
    <w:p w14:paraId="5F8B97D1" w14:textId="77777777" w:rsidR="00E1716E" w:rsidRPr="00E1716E" w:rsidRDefault="00E1716E" w:rsidP="007B766B">
      <w:pPr>
        <w:pStyle w:val="ListParagraph"/>
        <w:numPr>
          <w:ilvl w:val="0"/>
          <w:numId w:val="32"/>
        </w:numPr>
        <w:spacing w:before="80"/>
      </w:pPr>
      <w:r w:rsidRPr="00E1716E">
        <w:t>using the portal - contact AusIndustry at 13 28 46</w:t>
      </w:r>
    </w:p>
    <w:p w14:paraId="094C1AD9" w14:textId="77777777" w:rsidR="00E1716E" w:rsidRPr="00E1716E" w:rsidRDefault="00E1716E" w:rsidP="00E1716E">
      <w:pPr>
        <w:keepNext/>
        <w:keepLines/>
        <w:numPr>
          <w:ilvl w:val="0"/>
          <w:numId w:val="26"/>
        </w:numPr>
        <w:spacing w:before="320" w:after="160" w:line="420" w:lineRule="atLeast"/>
        <w:outlineLvl w:val="0"/>
        <w:rPr>
          <w:rFonts w:asciiTheme="majorHAnsi" w:eastAsiaTheme="majorEastAsia" w:hAnsiTheme="majorHAnsi" w:cstheme="majorBidi"/>
          <w:b/>
          <w:color w:val="264F90" w:themeColor="accent2"/>
          <w:sz w:val="36"/>
          <w:szCs w:val="32"/>
        </w:rPr>
      </w:pPr>
      <w:bookmarkStart w:id="24" w:name="_Research_Service_Provider"/>
      <w:bookmarkEnd w:id="24"/>
      <w:r w:rsidRPr="00E1716E">
        <w:rPr>
          <w:rFonts w:asciiTheme="majorHAnsi" w:eastAsiaTheme="majorEastAsia" w:hAnsiTheme="majorHAnsi" w:cstheme="majorBidi"/>
          <w:b/>
          <w:color w:val="264F90" w:themeColor="accent2"/>
          <w:sz w:val="36"/>
          <w:szCs w:val="32"/>
        </w:rPr>
        <w:t xml:space="preserve">Research Service Provider renewals </w:t>
      </w:r>
    </w:p>
    <w:p w14:paraId="47AEBC37" w14:textId="77777777" w:rsidR="00E1716E" w:rsidRPr="00E1716E" w:rsidRDefault="00E1716E" w:rsidP="00E1716E">
      <w:r w:rsidRPr="00E1716E">
        <w:t xml:space="preserve">The deadline for Research Service Providers (RSPs) to renew their registration for the 2022/23 financial year is </w:t>
      </w:r>
      <w:r w:rsidRPr="00E1716E">
        <w:rPr>
          <w:b/>
          <w:bCs/>
        </w:rPr>
        <w:t>30 June 2022</w:t>
      </w:r>
      <w:r w:rsidRPr="00E1716E">
        <w:t>.</w:t>
      </w:r>
    </w:p>
    <w:p w14:paraId="15776B77" w14:textId="77777777" w:rsidR="00E1716E" w:rsidRPr="00E1716E" w:rsidRDefault="00E1716E" w:rsidP="00E1716E">
      <w:r w:rsidRPr="00E1716E">
        <w:t xml:space="preserve">As noted in item 4 above, the new </w:t>
      </w:r>
      <w:r w:rsidRPr="00E1716E">
        <w:rPr>
          <w:i/>
          <w:iCs/>
        </w:rPr>
        <w:t>Industry Research and Development Regulations 2022</w:t>
      </w:r>
      <w:r w:rsidRPr="00E1716E">
        <w:t xml:space="preserve"> (the new Regulations) are expected to replace the current</w:t>
      </w:r>
      <w:r w:rsidRPr="00E1716E">
        <w:rPr>
          <w:i/>
          <w:iCs/>
        </w:rPr>
        <w:t xml:space="preserve"> Industry Research and Development Regulations 2011</w:t>
      </w:r>
      <w:r w:rsidRPr="00E1716E">
        <w:t xml:space="preserve"> before they sunset on 1 April 2022. Under the new regulations, RSPs will be required to update the research field/s for which they wish to be registered using codes in the Australian and New Zealand Standard Research Classification (ANZSRC) 2008 to those in ANZSRC 2020. There are </w:t>
      </w:r>
      <w:hyperlink r:id="rId21">
        <w:r w:rsidRPr="00E1716E">
          <w:t>significant</w:t>
        </w:r>
      </w:hyperlink>
      <w:r w:rsidRPr="00E1716E">
        <w:t xml:space="preserve"> changes across all components of the ANZSRC classifications between the 2008 to 2020 iterations.</w:t>
      </w:r>
    </w:p>
    <w:p w14:paraId="216273C6" w14:textId="77777777" w:rsidR="00E1716E" w:rsidRPr="00E1716E" w:rsidRDefault="00E1716E" w:rsidP="00E1716E">
      <w:r w:rsidRPr="00E1716E">
        <w:t xml:space="preserve">Information on ANZSRC 2020 is available on the Australian Bureau of Statistics </w:t>
      </w:r>
      <w:hyperlink r:id="rId22">
        <w:r w:rsidRPr="00E1716E">
          <w:rPr>
            <w:color w:val="0046FF" w:themeColor="hyperlink"/>
            <w:szCs w:val="22"/>
            <w:u w:val="single"/>
          </w:rPr>
          <w:t>website</w:t>
        </w:r>
      </w:hyperlink>
      <w:r w:rsidRPr="00E1716E">
        <w:t>. RSPs should review their research services and be careful to assign the relevant ANZSRC 2020 codes.</w:t>
      </w:r>
    </w:p>
    <w:p w14:paraId="5900279A" w14:textId="77777777" w:rsidR="00E1716E" w:rsidRPr="00E1716E" w:rsidRDefault="00E1716E" w:rsidP="00E1716E">
      <w:r w:rsidRPr="00E1716E">
        <w:t>Further information will be provided on the changeover to ANZSRC 2020 in forthcoming R&amp;D Tax Incentive e-Bulletins and the annual renewal notices sent to all registered RSPs on 1 May 2022.</w:t>
      </w:r>
    </w:p>
    <w:p w14:paraId="75FC3362" w14:textId="77777777" w:rsidR="00E1716E" w:rsidRPr="00E1716E" w:rsidRDefault="00E1716E" w:rsidP="00E1716E">
      <w:pPr>
        <w:keepNext/>
        <w:keepLines/>
        <w:numPr>
          <w:ilvl w:val="0"/>
          <w:numId w:val="26"/>
        </w:numPr>
        <w:spacing w:before="320" w:after="160" w:line="420" w:lineRule="atLeast"/>
        <w:outlineLvl w:val="0"/>
        <w:rPr>
          <w:rFonts w:asciiTheme="majorHAnsi" w:eastAsiaTheme="majorEastAsia" w:hAnsiTheme="majorHAnsi" w:cstheme="majorBidi"/>
          <w:b/>
          <w:color w:val="1F497D"/>
          <w:sz w:val="36"/>
          <w:szCs w:val="32"/>
        </w:rPr>
      </w:pPr>
      <w:bookmarkStart w:id="25" w:name="_Large_Business_Review"/>
      <w:bookmarkEnd w:id="25"/>
      <w:r w:rsidRPr="00E1716E">
        <w:rPr>
          <w:rFonts w:asciiTheme="majorHAnsi" w:eastAsiaTheme="majorEastAsia" w:hAnsiTheme="majorHAnsi" w:cstheme="majorBidi"/>
          <w:b/>
          <w:color w:val="1F497D"/>
          <w:sz w:val="36"/>
          <w:szCs w:val="32"/>
        </w:rPr>
        <w:lastRenderedPageBreak/>
        <w:t>Large Business Review program</w:t>
      </w:r>
    </w:p>
    <w:p w14:paraId="674C1AC7" w14:textId="77777777" w:rsidR="00E1716E" w:rsidRPr="00E1716E" w:rsidRDefault="00E1716E" w:rsidP="00E1716E">
      <w:r w:rsidRPr="00E1716E">
        <w:t>AusIndustry is continuing this year with our Large Business Review (LBR) program. LBRs are an opportunity for AusIndustry to engage with the biggest participants in the R&amp;DTI program and provide assurance in relation to the eligibility risks facing those participants. Individual companies are selected by AusIndustry in consultation with the ATO, covering a variety of industries and types of R&amp;D activities. We aim to work closely with selected companies over an approximately 6 month period to:</w:t>
      </w:r>
    </w:p>
    <w:p w14:paraId="6DAC3EF3" w14:textId="77777777" w:rsidR="00E1716E" w:rsidRPr="00E1716E" w:rsidRDefault="00E1716E" w:rsidP="007B766B">
      <w:pPr>
        <w:pStyle w:val="ListParagraph"/>
        <w:numPr>
          <w:ilvl w:val="0"/>
          <w:numId w:val="33"/>
        </w:numPr>
        <w:spacing w:before="80"/>
      </w:pPr>
      <w:r w:rsidRPr="00E1716E">
        <w:t>provide tailored education and guidance on eligibility risks to improve future registrations</w:t>
      </w:r>
    </w:p>
    <w:p w14:paraId="03F7D762" w14:textId="77777777" w:rsidR="00E1716E" w:rsidRPr="00E1716E" w:rsidRDefault="00E1716E" w:rsidP="007B766B">
      <w:pPr>
        <w:pStyle w:val="ListParagraph"/>
        <w:numPr>
          <w:ilvl w:val="0"/>
          <w:numId w:val="33"/>
        </w:numPr>
        <w:spacing w:before="80"/>
      </w:pPr>
      <w:r w:rsidRPr="00E1716E">
        <w:t>promote good record keeping and self-assessment practices</w:t>
      </w:r>
    </w:p>
    <w:p w14:paraId="560E7BAE" w14:textId="77777777" w:rsidR="00E1716E" w:rsidRPr="00E1716E" w:rsidRDefault="00E1716E" w:rsidP="007B766B">
      <w:pPr>
        <w:pStyle w:val="ListParagraph"/>
        <w:numPr>
          <w:ilvl w:val="0"/>
          <w:numId w:val="33"/>
        </w:numPr>
        <w:spacing w:before="80"/>
      </w:pPr>
      <w:r w:rsidRPr="00E1716E">
        <w:t>identify, evaluate and work through potential compliance issues.</w:t>
      </w:r>
    </w:p>
    <w:p w14:paraId="04AB9B14" w14:textId="77777777" w:rsidR="00E1716E" w:rsidRPr="00E1716E" w:rsidRDefault="00E1716E" w:rsidP="00E1716E">
      <w:pPr>
        <w:keepNext/>
        <w:keepLines/>
        <w:numPr>
          <w:ilvl w:val="0"/>
          <w:numId w:val="26"/>
        </w:numPr>
        <w:spacing w:before="320" w:after="160" w:line="420" w:lineRule="atLeast"/>
        <w:outlineLvl w:val="0"/>
        <w:rPr>
          <w:rFonts w:asciiTheme="majorHAnsi" w:eastAsiaTheme="majorEastAsia" w:hAnsiTheme="majorHAnsi" w:cstheme="majorBidi"/>
          <w:b/>
          <w:color w:val="264F90" w:themeColor="accent2"/>
          <w:sz w:val="36"/>
          <w:szCs w:val="32"/>
        </w:rPr>
      </w:pPr>
      <w:bookmarkStart w:id="26" w:name="_Registration_Data"/>
      <w:bookmarkEnd w:id="26"/>
      <w:r w:rsidRPr="00E1716E">
        <w:rPr>
          <w:rFonts w:asciiTheme="majorHAnsi" w:eastAsiaTheme="majorEastAsia" w:hAnsiTheme="majorHAnsi" w:cstheme="majorBidi"/>
          <w:b/>
          <w:color w:val="264F90" w:themeColor="accent2"/>
          <w:sz w:val="36"/>
          <w:szCs w:val="32"/>
        </w:rPr>
        <w:t>Registration Data</w:t>
      </w:r>
    </w:p>
    <w:p w14:paraId="46691213" w14:textId="77777777" w:rsidR="00E1716E" w:rsidRPr="00E1716E" w:rsidRDefault="00E1716E" w:rsidP="00E1716E">
      <w:r w:rsidRPr="00E1716E">
        <w:t xml:space="preserve">The below figures have demonstrate R&amp;D Tax Incentive registrations for the 2020/2021 incomplete income period. This is the most recent dataset for the period due to the application period closing 10 months after the end of the financial year. </w:t>
      </w:r>
    </w:p>
    <w:p w14:paraId="47E74B81" w14:textId="77777777" w:rsidR="00E1716E" w:rsidRPr="00E1716E" w:rsidRDefault="00E1716E" w:rsidP="00E1716E">
      <w:r w:rsidRPr="00E1716E">
        <w:t>Please note that where the count of registrations for a metric is less than 5, or expenditure is below 1 million dollars, the information is not presented. Data is obtained from 31 January 2022.</w:t>
      </w:r>
    </w:p>
    <w:p w14:paraId="0F485D39" w14:textId="77777777" w:rsidR="00E1716E" w:rsidRPr="00E1716E" w:rsidRDefault="00E1716E" w:rsidP="00E1716E">
      <w:pPr>
        <w:keepNext/>
        <w:keepLines/>
        <w:spacing w:before="320" w:after="160"/>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Overall registrations (AusIndustry – Incomplete 2020/21 Income Period)</w:t>
      </w:r>
    </w:p>
    <w:tbl>
      <w:tblPr>
        <w:tblW w:w="6096" w:type="dxa"/>
        <w:tblInd w:w="-5" w:type="dxa"/>
        <w:tblLayout w:type="fixed"/>
        <w:tblLook w:val="04A0" w:firstRow="1" w:lastRow="0" w:firstColumn="1" w:lastColumn="0" w:noHBand="0" w:noVBand="1"/>
      </w:tblPr>
      <w:tblGrid>
        <w:gridCol w:w="2420"/>
        <w:gridCol w:w="3676"/>
      </w:tblGrid>
      <w:tr w:rsidR="00E1716E" w:rsidRPr="00E1716E" w14:paraId="67799341" w14:textId="77777777" w:rsidTr="00E1716E">
        <w:trPr>
          <w:trHeight w:val="300"/>
        </w:trPr>
        <w:tc>
          <w:tcPr>
            <w:tcW w:w="6096" w:type="dxa"/>
            <w:gridSpan w:val="2"/>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662D0083" w14:textId="77777777" w:rsidR="00E1716E" w:rsidRPr="00E1716E" w:rsidRDefault="00E1716E" w:rsidP="00E1716E">
            <w:pPr>
              <w:rPr>
                <w:color w:val="FFFFFF" w:themeColor="background1"/>
                <w:lang w:eastAsia="en-AU"/>
              </w:rPr>
            </w:pPr>
            <w:r w:rsidRPr="00E1716E">
              <w:rPr>
                <w:color w:val="FFFFFF" w:themeColor="background1"/>
                <w:lang w:eastAsia="en-AU"/>
              </w:rPr>
              <w:t>R&amp;D Tax Incentive Program Data</w:t>
            </w:r>
          </w:p>
        </w:tc>
      </w:tr>
      <w:tr w:rsidR="00E1716E" w:rsidRPr="00E1716E" w14:paraId="4070353B"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E131382" w14:textId="77777777" w:rsidR="00E1716E" w:rsidRPr="00E1716E" w:rsidRDefault="00E1716E" w:rsidP="00E1716E">
            <w:pPr>
              <w:rPr>
                <w:lang w:eastAsia="en-AU"/>
              </w:rPr>
            </w:pPr>
            <w:r w:rsidRPr="00E1716E">
              <w:rPr>
                <w:lang w:eastAsia="en-AU"/>
              </w:rPr>
              <w:t>Number of Registrations</w:t>
            </w:r>
          </w:p>
        </w:tc>
        <w:tc>
          <w:tcPr>
            <w:tcW w:w="367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CE03578" w14:textId="77777777" w:rsidR="00E1716E" w:rsidRPr="00E1716E" w:rsidRDefault="00E1716E" w:rsidP="00E1716E">
            <w:pPr>
              <w:rPr>
                <w:lang w:eastAsia="en-AU"/>
              </w:rPr>
            </w:pPr>
            <w:r w:rsidRPr="00E1716E">
              <w:rPr>
                <w:lang w:eastAsia="en-AU"/>
              </w:rPr>
              <w:t>5,988</w:t>
            </w:r>
          </w:p>
        </w:tc>
      </w:tr>
      <w:tr w:rsidR="00E1716E" w:rsidRPr="00E1716E" w14:paraId="0372FAE4"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6DCFF" w14:textId="77777777" w:rsidR="00E1716E" w:rsidRPr="00E1716E" w:rsidRDefault="00E1716E" w:rsidP="00E1716E">
            <w:pPr>
              <w:rPr>
                <w:lang w:eastAsia="en-AU"/>
              </w:rPr>
            </w:pPr>
            <w:r w:rsidRPr="00E1716E">
              <w:rPr>
                <w:lang w:eastAsia="en-AU"/>
              </w:rPr>
              <w:t>Expenditure (</w:t>
            </w:r>
            <w:r w:rsidRPr="00E1716E">
              <w:rPr>
                <w:b/>
                <w:bCs/>
                <w:lang w:eastAsia="en-AU"/>
              </w:rPr>
              <w:t>billion</w:t>
            </w:r>
            <w:r w:rsidRPr="00E1716E">
              <w:rPr>
                <w:lang w:eastAsia="en-AU"/>
              </w:rPr>
              <w:t>)</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8DDD5" w14:textId="77777777" w:rsidR="00E1716E" w:rsidRPr="00E1716E" w:rsidRDefault="00E1716E" w:rsidP="00E1716E">
            <w:pPr>
              <w:rPr>
                <w:lang w:eastAsia="en-AU"/>
              </w:rPr>
            </w:pPr>
            <w:r w:rsidRPr="00E1716E">
              <w:rPr>
                <w:lang w:eastAsia="en-AU"/>
              </w:rPr>
              <w:t>$8.17</w:t>
            </w:r>
          </w:p>
        </w:tc>
      </w:tr>
    </w:tbl>
    <w:p w14:paraId="6D0FAD61" w14:textId="77777777" w:rsidR="00E1716E" w:rsidRPr="00E1716E" w:rsidRDefault="00E1716E" w:rsidP="00E1716E">
      <w:pPr>
        <w:keepNext/>
        <w:keepLines/>
        <w:spacing w:before="320" w:after="160"/>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Overall claims (ATO)*</w:t>
      </w:r>
    </w:p>
    <w:tbl>
      <w:tblPr>
        <w:tblW w:w="6096" w:type="dxa"/>
        <w:tblInd w:w="-5" w:type="dxa"/>
        <w:tblLayout w:type="fixed"/>
        <w:tblLook w:val="04A0" w:firstRow="1" w:lastRow="0" w:firstColumn="1" w:lastColumn="0" w:noHBand="0" w:noVBand="1"/>
      </w:tblPr>
      <w:tblGrid>
        <w:gridCol w:w="2420"/>
        <w:gridCol w:w="1838"/>
        <w:gridCol w:w="1838"/>
      </w:tblGrid>
      <w:tr w:rsidR="00E1716E" w:rsidRPr="00E1716E" w14:paraId="66983AE0"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D7B570E" w14:textId="77777777" w:rsidR="00E1716E" w:rsidRPr="00E1716E" w:rsidRDefault="00E1716E" w:rsidP="00E1716E">
            <w:pPr>
              <w:rPr>
                <w:color w:val="FFFFFF" w:themeColor="background1"/>
                <w:lang w:eastAsia="en-AU"/>
              </w:rPr>
            </w:pPr>
            <w:r w:rsidRPr="00E1716E">
              <w:rPr>
                <w:color w:val="FFFFFF" w:themeColor="background1"/>
                <w:lang w:eastAsia="en-AU"/>
              </w:rPr>
              <w:t xml:space="preserve"> </w:t>
            </w:r>
          </w:p>
        </w:tc>
        <w:tc>
          <w:tcPr>
            <w:tcW w:w="1838"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FC76E74" w14:textId="77777777" w:rsidR="00E1716E" w:rsidRPr="00E1716E" w:rsidRDefault="00E1716E" w:rsidP="00E1716E">
            <w:pPr>
              <w:rPr>
                <w:color w:val="FFFFFF" w:themeColor="background1"/>
                <w:lang w:eastAsia="en-AU"/>
              </w:rPr>
            </w:pPr>
            <w:r w:rsidRPr="00E1716E">
              <w:rPr>
                <w:color w:val="FFFFFF" w:themeColor="background1"/>
                <w:lang w:eastAsia="en-AU"/>
              </w:rPr>
              <w:t>Refundable</w:t>
            </w:r>
          </w:p>
        </w:tc>
        <w:tc>
          <w:tcPr>
            <w:tcW w:w="1838"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30E54516" w14:textId="77777777" w:rsidR="00E1716E" w:rsidRPr="00E1716E" w:rsidRDefault="00E1716E" w:rsidP="00E1716E">
            <w:pPr>
              <w:rPr>
                <w:color w:val="FFFFFF" w:themeColor="background1"/>
                <w:lang w:eastAsia="en-AU"/>
              </w:rPr>
            </w:pPr>
            <w:r w:rsidRPr="00E1716E">
              <w:rPr>
                <w:color w:val="FFFFFF" w:themeColor="background1"/>
                <w:lang w:eastAsia="en-AU"/>
              </w:rPr>
              <w:t>Non-Refundable</w:t>
            </w:r>
          </w:p>
        </w:tc>
      </w:tr>
      <w:tr w:rsidR="00E1716E" w:rsidRPr="00E1716E" w14:paraId="43B91364"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9179410" w14:textId="77777777" w:rsidR="00E1716E" w:rsidRPr="00E1716E" w:rsidRDefault="00E1716E" w:rsidP="00E1716E">
            <w:pPr>
              <w:rPr>
                <w:color w:val="000000"/>
                <w:lang w:eastAsia="en-AU"/>
              </w:rPr>
            </w:pPr>
            <w:r w:rsidRPr="00E1716E">
              <w:rPr>
                <w:color w:val="000000"/>
                <w:lang w:eastAsia="en-AU"/>
              </w:rPr>
              <w:t>Number of Claims</w:t>
            </w:r>
          </w:p>
        </w:tc>
        <w:tc>
          <w:tcPr>
            <w:tcW w:w="183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8983136" w14:textId="77777777" w:rsidR="00E1716E" w:rsidRPr="00E1716E" w:rsidRDefault="00E1716E" w:rsidP="00E1716E">
            <w:pPr>
              <w:rPr>
                <w:color w:val="000000"/>
                <w:lang w:eastAsia="en-AU"/>
              </w:rPr>
            </w:pPr>
            <w:r w:rsidRPr="00E1716E">
              <w:rPr>
                <w:color w:val="000000"/>
                <w:lang w:eastAsia="en-AU"/>
              </w:rPr>
              <w:t>10,086</w:t>
            </w:r>
          </w:p>
        </w:tc>
        <w:tc>
          <w:tcPr>
            <w:tcW w:w="183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1A4A0C9" w14:textId="77777777" w:rsidR="00E1716E" w:rsidRPr="00E1716E" w:rsidRDefault="00E1716E" w:rsidP="00E1716E">
            <w:pPr>
              <w:rPr>
                <w:color w:val="000000"/>
                <w:lang w:eastAsia="en-AU"/>
              </w:rPr>
            </w:pPr>
            <w:r w:rsidRPr="00E1716E">
              <w:rPr>
                <w:color w:val="000000"/>
                <w:lang w:eastAsia="en-AU"/>
              </w:rPr>
              <w:t>1,353</w:t>
            </w:r>
          </w:p>
        </w:tc>
      </w:tr>
      <w:tr w:rsidR="00E1716E" w:rsidRPr="00E1716E" w14:paraId="2914B45F"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9AB09" w14:textId="77777777" w:rsidR="00E1716E" w:rsidRPr="00E1716E" w:rsidRDefault="00E1716E" w:rsidP="00E1716E">
            <w:pPr>
              <w:rPr>
                <w:color w:val="000000"/>
                <w:lang w:eastAsia="en-AU"/>
              </w:rPr>
            </w:pPr>
            <w:r w:rsidRPr="00E1716E">
              <w:rPr>
                <w:color w:val="000000"/>
                <w:lang w:eastAsia="en-AU"/>
              </w:rPr>
              <w:t>Expenditure (</w:t>
            </w:r>
            <w:r w:rsidRPr="00E1716E">
              <w:rPr>
                <w:b/>
                <w:color w:val="000000"/>
                <w:lang w:eastAsia="en-AU"/>
              </w:rPr>
              <w:t>billion</w:t>
            </w:r>
            <w:r w:rsidRPr="00E1716E">
              <w:rPr>
                <w:color w:val="000000"/>
                <w:lang w:eastAsia="en-AU"/>
              </w:rPr>
              <w:t>)</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34B98" w14:textId="77777777" w:rsidR="00E1716E" w:rsidRPr="00E1716E" w:rsidRDefault="00E1716E" w:rsidP="00E1716E">
            <w:pPr>
              <w:rPr>
                <w:color w:val="000000"/>
                <w:lang w:eastAsia="en-AU"/>
              </w:rPr>
            </w:pPr>
            <w:r w:rsidRPr="00E1716E">
              <w:rPr>
                <w:color w:val="000000"/>
                <w:lang w:eastAsia="en-AU"/>
              </w:rPr>
              <w:t>$2.54</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7B919" w14:textId="77777777" w:rsidR="00E1716E" w:rsidRPr="00E1716E" w:rsidRDefault="00E1716E" w:rsidP="00E1716E">
            <w:pPr>
              <w:rPr>
                <w:color w:val="000000"/>
                <w:lang w:eastAsia="en-AU"/>
              </w:rPr>
            </w:pPr>
            <w:r w:rsidRPr="00E1716E">
              <w:rPr>
                <w:color w:val="000000"/>
                <w:lang w:eastAsia="en-AU"/>
              </w:rPr>
              <w:t>$2.11</w:t>
            </w:r>
          </w:p>
        </w:tc>
      </w:tr>
    </w:tbl>
    <w:p w14:paraId="4E3F93E4" w14:textId="77777777" w:rsidR="007B766B" w:rsidRDefault="00E1716E" w:rsidP="007B766B">
      <w:pPr>
        <w:rPr>
          <w:rFonts w:asciiTheme="majorHAnsi" w:eastAsiaTheme="majorEastAsia" w:hAnsiTheme="majorHAnsi" w:cstheme="majorBidi"/>
          <w:color w:val="264F90" w:themeColor="accent2"/>
          <w:sz w:val="24"/>
          <w:szCs w:val="24"/>
        </w:rPr>
      </w:pPr>
      <w:r w:rsidRPr="00E1716E">
        <w:t xml:space="preserve">* Please note these ATO data in the above table relate to the complete year 2019-20, not the incomplete year 2020-21.   </w:t>
      </w:r>
      <w:r w:rsidRPr="00E1716E">
        <w:br/>
      </w:r>
    </w:p>
    <w:p w14:paraId="4E7A6A74" w14:textId="78197E19" w:rsidR="00E1716E" w:rsidRPr="00E1716E" w:rsidRDefault="00E1716E" w:rsidP="007B766B">
      <w:pPr>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Comparison by organisation size (Incomplete 2020/21 Income Period)</w:t>
      </w:r>
    </w:p>
    <w:tbl>
      <w:tblPr>
        <w:tblW w:w="6096" w:type="dxa"/>
        <w:tblInd w:w="-5" w:type="dxa"/>
        <w:tblLayout w:type="fixed"/>
        <w:tblLook w:val="04A0" w:firstRow="1" w:lastRow="0" w:firstColumn="1" w:lastColumn="0" w:noHBand="0" w:noVBand="1"/>
      </w:tblPr>
      <w:tblGrid>
        <w:gridCol w:w="2420"/>
        <w:gridCol w:w="1838"/>
        <w:gridCol w:w="1838"/>
      </w:tblGrid>
      <w:tr w:rsidR="00E1716E" w:rsidRPr="00E1716E" w14:paraId="2F22EFA0"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952CC11" w14:textId="77777777" w:rsidR="00E1716E" w:rsidRPr="00E1716E" w:rsidRDefault="00E1716E" w:rsidP="00E1716E">
            <w:pPr>
              <w:rPr>
                <w:lang w:eastAsia="en-AU"/>
              </w:rPr>
            </w:pPr>
            <w:r w:rsidRPr="00E1716E">
              <w:rPr>
                <w:lang w:eastAsia="en-AU"/>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086B7F8C" w14:textId="77777777" w:rsidR="00E1716E" w:rsidRPr="00E1716E" w:rsidRDefault="00E1716E" w:rsidP="00E1716E">
            <w:pPr>
              <w:rPr>
                <w:color w:val="FFFFFF" w:themeColor="background1"/>
                <w:lang w:eastAsia="en-AU"/>
              </w:rPr>
            </w:pPr>
            <w:r w:rsidRPr="00E1716E">
              <w:rPr>
                <w:color w:val="FFFFFF" w:themeColor="background1"/>
                <w:lang w:eastAsia="en-AU"/>
              </w:rPr>
              <w:t>SMEs</w:t>
            </w:r>
          </w:p>
        </w:tc>
        <w:tc>
          <w:tcPr>
            <w:tcW w:w="1838"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F08C965" w14:textId="77777777" w:rsidR="00E1716E" w:rsidRPr="00E1716E" w:rsidRDefault="00E1716E" w:rsidP="00E1716E">
            <w:pPr>
              <w:rPr>
                <w:color w:val="FFFFFF" w:themeColor="background1"/>
                <w:lang w:eastAsia="en-AU"/>
              </w:rPr>
            </w:pPr>
            <w:r w:rsidRPr="00E1716E">
              <w:rPr>
                <w:color w:val="FFFFFF" w:themeColor="background1"/>
                <w:lang w:eastAsia="en-AU"/>
              </w:rPr>
              <w:t xml:space="preserve">Large Companies </w:t>
            </w:r>
          </w:p>
        </w:tc>
      </w:tr>
      <w:tr w:rsidR="00E1716E" w:rsidRPr="00E1716E" w14:paraId="365D358A"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A4F8EFC" w14:textId="77777777" w:rsidR="00E1716E" w:rsidRPr="00E1716E" w:rsidRDefault="00E1716E" w:rsidP="00E1716E">
            <w:pPr>
              <w:rPr>
                <w:lang w:eastAsia="en-AU"/>
              </w:rPr>
            </w:pPr>
            <w:r w:rsidRPr="00E1716E">
              <w:rPr>
                <w:lang w:eastAsia="en-AU"/>
              </w:rPr>
              <w:t>Number of Registrations</w:t>
            </w:r>
          </w:p>
        </w:tc>
        <w:tc>
          <w:tcPr>
            <w:tcW w:w="1838"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92D4CCA" w14:textId="77777777" w:rsidR="00E1716E" w:rsidRPr="00E1716E" w:rsidRDefault="00E1716E" w:rsidP="00E1716E">
            <w:pPr>
              <w:rPr>
                <w:lang w:eastAsia="en-AU"/>
              </w:rPr>
            </w:pPr>
            <w:r w:rsidRPr="00E1716E">
              <w:rPr>
                <w:lang w:eastAsia="en-AU"/>
              </w:rPr>
              <w:t>5,221</w:t>
            </w:r>
          </w:p>
        </w:tc>
        <w:tc>
          <w:tcPr>
            <w:tcW w:w="1838"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9E7A2CC" w14:textId="77777777" w:rsidR="00E1716E" w:rsidRPr="00E1716E" w:rsidRDefault="00E1716E" w:rsidP="00E1716E">
            <w:pPr>
              <w:rPr>
                <w:lang w:eastAsia="en-AU"/>
              </w:rPr>
            </w:pPr>
            <w:r w:rsidRPr="00E1716E">
              <w:rPr>
                <w:lang w:eastAsia="en-AU"/>
              </w:rPr>
              <w:t>767</w:t>
            </w:r>
          </w:p>
        </w:tc>
      </w:tr>
      <w:tr w:rsidR="00E1716E" w:rsidRPr="00E1716E" w14:paraId="5DE6F159"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C946" w14:textId="77777777" w:rsidR="00E1716E" w:rsidRPr="00E1716E" w:rsidRDefault="00E1716E" w:rsidP="00E1716E">
            <w:pPr>
              <w:rPr>
                <w:lang w:eastAsia="en-AU"/>
              </w:rPr>
            </w:pPr>
            <w:r w:rsidRPr="00E1716E">
              <w:rPr>
                <w:lang w:eastAsia="en-AU"/>
              </w:rPr>
              <w:t>Expenditure (</w:t>
            </w:r>
            <w:r w:rsidRPr="00E1716E">
              <w:rPr>
                <w:b/>
                <w:lang w:eastAsia="en-AU"/>
              </w:rPr>
              <w:t>billion</w:t>
            </w:r>
            <w:r w:rsidRPr="00E1716E">
              <w:rPr>
                <w:lang w:eastAsia="en-AU"/>
              </w:rPr>
              <w:t>)</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499C" w14:textId="77777777" w:rsidR="00E1716E" w:rsidRPr="00E1716E" w:rsidRDefault="00E1716E" w:rsidP="00E1716E">
            <w:pPr>
              <w:rPr>
                <w:lang w:eastAsia="en-AU"/>
              </w:rPr>
            </w:pPr>
            <w:r w:rsidRPr="00E1716E">
              <w:rPr>
                <w:lang w:eastAsia="en-AU"/>
              </w:rPr>
              <w:t>$4.11</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5D4F0" w14:textId="77777777" w:rsidR="00E1716E" w:rsidRPr="00E1716E" w:rsidRDefault="00E1716E" w:rsidP="00E1716E">
            <w:pPr>
              <w:rPr>
                <w:lang w:eastAsia="en-AU"/>
              </w:rPr>
            </w:pPr>
            <w:r w:rsidRPr="00E1716E">
              <w:rPr>
                <w:lang w:eastAsia="en-AU"/>
              </w:rPr>
              <w:t>$4.06</w:t>
            </w:r>
          </w:p>
        </w:tc>
      </w:tr>
    </w:tbl>
    <w:p w14:paraId="7FC5CE67" w14:textId="77777777" w:rsidR="00E1716E" w:rsidRPr="00E1716E" w:rsidRDefault="00E1716E" w:rsidP="00E1716E">
      <w:pPr>
        <w:rPr>
          <w:rFonts w:asciiTheme="majorHAnsi" w:eastAsiaTheme="majorEastAsia" w:hAnsiTheme="majorHAnsi" w:cstheme="majorBidi"/>
          <w:color w:val="264F90" w:themeColor="accent2"/>
          <w:sz w:val="24"/>
          <w:szCs w:val="24"/>
        </w:rPr>
      </w:pPr>
    </w:p>
    <w:p w14:paraId="628C34E9" w14:textId="77777777" w:rsidR="00E1716E" w:rsidRPr="00E1716E" w:rsidRDefault="00E1716E" w:rsidP="00E1716E">
      <w:pPr>
        <w:keepNext/>
        <w:keepLines/>
        <w:spacing w:before="320" w:after="160"/>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lastRenderedPageBreak/>
        <w:t>Comparison by States and Territories (for top 5 sectors, Incomplete 2020/21 income period)</w:t>
      </w:r>
    </w:p>
    <w:p w14:paraId="37D6B346" w14:textId="77777777" w:rsidR="00E1716E" w:rsidRPr="00E1716E" w:rsidRDefault="00E1716E" w:rsidP="00E1716E">
      <w:r w:rsidRPr="00E1716E">
        <w:rPr>
          <w:noProof/>
          <w:lang w:eastAsia="en-AU"/>
        </w:rPr>
        <w:drawing>
          <wp:inline distT="0" distB="0" distL="0" distR="0" wp14:anchorId="75179BEF" wp14:editId="25C620C7">
            <wp:extent cx="4250702" cy="40392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utline-map-of-the-states-of-australia-vector-931248.png"/>
                    <pic:cNvPicPr/>
                  </pic:nvPicPr>
                  <pic:blipFill>
                    <a:blip r:embed="rId23">
                      <a:extLst>
                        <a:ext uri="{28A0092B-C50C-407E-A947-70E740481C1C}">
                          <a14:useLocalDpi xmlns:a14="http://schemas.microsoft.com/office/drawing/2010/main" val="0"/>
                        </a:ext>
                      </a:extLst>
                    </a:blip>
                    <a:stretch>
                      <a:fillRect/>
                    </a:stretch>
                  </pic:blipFill>
                  <pic:spPr>
                    <a:xfrm>
                      <a:off x="0" y="0"/>
                      <a:ext cx="4258168" cy="4046357"/>
                    </a:xfrm>
                    <a:prstGeom prst="rect">
                      <a:avLst/>
                    </a:prstGeom>
                  </pic:spPr>
                </pic:pic>
              </a:graphicData>
            </a:graphic>
          </wp:inline>
        </w:drawing>
      </w:r>
    </w:p>
    <w:p w14:paraId="42A85C19" w14:textId="77777777" w:rsidR="00E1716E" w:rsidRPr="00E1716E" w:rsidRDefault="00E1716E" w:rsidP="00E1716E">
      <w:pPr>
        <w:keepNext/>
        <w:keepLines/>
        <w:spacing w:before="320" w:after="160"/>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Comparison by sector (Top 5 Sectors, Incomplete 2020/21 income period)</w:t>
      </w:r>
    </w:p>
    <w:tbl>
      <w:tblPr>
        <w:tblW w:w="10065" w:type="dxa"/>
        <w:tblInd w:w="-5" w:type="dxa"/>
        <w:tblLayout w:type="fixed"/>
        <w:tblLook w:val="04A0" w:firstRow="1" w:lastRow="0" w:firstColumn="1" w:lastColumn="0" w:noHBand="0" w:noVBand="1"/>
      </w:tblPr>
      <w:tblGrid>
        <w:gridCol w:w="2420"/>
        <w:gridCol w:w="1529"/>
        <w:gridCol w:w="1580"/>
        <w:gridCol w:w="1478"/>
        <w:gridCol w:w="1529"/>
        <w:gridCol w:w="1529"/>
      </w:tblGrid>
      <w:tr w:rsidR="00E1716E" w:rsidRPr="00E1716E" w14:paraId="75937D2A"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FE1F27D" w14:textId="77777777" w:rsidR="00E1716E" w:rsidRPr="00E1716E" w:rsidRDefault="00E1716E" w:rsidP="00E1716E">
            <w:pPr>
              <w:rPr>
                <w:lang w:eastAsia="en-AU"/>
              </w:rPr>
            </w:pPr>
            <w:r w:rsidRPr="00E1716E">
              <w:rPr>
                <w:lang w:eastAsia="en-AU"/>
              </w:rPr>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2A208339" w14:textId="77777777" w:rsidR="00E1716E" w:rsidRPr="00E1716E" w:rsidRDefault="00E1716E" w:rsidP="00E1716E">
            <w:pPr>
              <w:rPr>
                <w:color w:val="FFFFFF" w:themeColor="background1"/>
                <w:lang w:eastAsia="en-AU"/>
              </w:rPr>
            </w:pPr>
            <w:r w:rsidRPr="00E1716E">
              <w:rPr>
                <w:color w:val="FFFFFF" w:themeColor="background1"/>
                <w:lang w:eastAsia="en-AU"/>
              </w:rPr>
              <w:t>Services</w:t>
            </w:r>
          </w:p>
        </w:tc>
        <w:tc>
          <w:tcPr>
            <w:tcW w:w="158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C56E511" w14:textId="77777777" w:rsidR="00E1716E" w:rsidRPr="00E1716E" w:rsidRDefault="00E1716E" w:rsidP="00E1716E">
            <w:pPr>
              <w:rPr>
                <w:color w:val="FFFFFF" w:themeColor="background1"/>
                <w:lang w:eastAsia="en-AU"/>
              </w:rPr>
            </w:pPr>
            <w:r w:rsidRPr="00E1716E">
              <w:rPr>
                <w:color w:val="FFFFFF" w:themeColor="background1"/>
                <w:lang w:eastAsia="en-AU"/>
              </w:rPr>
              <w:t>Manufacturing</w:t>
            </w:r>
          </w:p>
        </w:tc>
        <w:tc>
          <w:tcPr>
            <w:tcW w:w="1478"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6C9EA254" w14:textId="77777777" w:rsidR="00E1716E" w:rsidRPr="00E1716E" w:rsidRDefault="00E1716E" w:rsidP="00E1716E">
            <w:pPr>
              <w:rPr>
                <w:color w:val="FFFFFF" w:themeColor="background1"/>
                <w:lang w:eastAsia="en-AU"/>
              </w:rPr>
            </w:pPr>
            <w:r w:rsidRPr="00E1716E">
              <w:rPr>
                <w:color w:val="FFFFFF" w:themeColor="background1"/>
                <w:lang w:eastAsia="en-AU"/>
              </w:rPr>
              <w:t>Mining</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CC65299" w14:textId="77777777" w:rsidR="00E1716E" w:rsidRPr="00E1716E" w:rsidRDefault="00E1716E" w:rsidP="00E1716E">
            <w:pPr>
              <w:rPr>
                <w:color w:val="FFFFFF" w:themeColor="background1"/>
                <w:lang w:eastAsia="en-AU"/>
              </w:rPr>
            </w:pPr>
            <w:r w:rsidRPr="00E1716E">
              <w:rPr>
                <w:color w:val="FFFFFF" w:themeColor="background1"/>
                <w:lang w:eastAsia="en-AU"/>
              </w:rPr>
              <w:t>Agriculture</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7F5B8893" w14:textId="77777777" w:rsidR="00E1716E" w:rsidRPr="00E1716E" w:rsidRDefault="00E1716E" w:rsidP="00E1716E">
            <w:pPr>
              <w:rPr>
                <w:color w:val="FFFFFF" w:themeColor="background1"/>
                <w:lang w:eastAsia="en-AU"/>
              </w:rPr>
            </w:pPr>
            <w:r w:rsidRPr="00E1716E">
              <w:rPr>
                <w:color w:val="FFFFFF" w:themeColor="background1"/>
                <w:lang w:eastAsia="en-AU"/>
              </w:rPr>
              <w:t>E,G,W &amp; WS*</w:t>
            </w:r>
          </w:p>
        </w:tc>
      </w:tr>
      <w:tr w:rsidR="00E1716E" w:rsidRPr="00E1716E" w14:paraId="7974B01B"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635A793" w14:textId="77777777" w:rsidR="00E1716E" w:rsidRPr="00E1716E" w:rsidRDefault="00E1716E" w:rsidP="00E1716E">
            <w:pPr>
              <w:rPr>
                <w:lang w:eastAsia="en-AU"/>
              </w:rPr>
            </w:pPr>
            <w:r w:rsidRPr="00E1716E">
              <w:rPr>
                <w:lang w:eastAsia="en-AU"/>
              </w:rPr>
              <w:t>Number of Registrations</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36A7ADC" w14:textId="77777777" w:rsidR="00E1716E" w:rsidRPr="00E1716E" w:rsidRDefault="00E1716E" w:rsidP="00E1716E">
            <w:pPr>
              <w:rPr>
                <w:lang w:eastAsia="en-AU"/>
              </w:rPr>
            </w:pPr>
            <w:r w:rsidRPr="00E1716E">
              <w:rPr>
                <w:lang w:eastAsia="en-AU"/>
              </w:rPr>
              <w:t>3,898</w:t>
            </w:r>
          </w:p>
        </w:tc>
        <w:tc>
          <w:tcPr>
            <w:tcW w:w="158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6F81632" w14:textId="77777777" w:rsidR="00E1716E" w:rsidRPr="00E1716E" w:rsidRDefault="00E1716E" w:rsidP="00E1716E">
            <w:pPr>
              <w:rPr>
                <w:lang w:eastAsia="en-AU"/>
              </w:rPr>
            </w:pPr>
            <w:r w:rsidRPr="00E1716E">
              <w:rPr>
                <w:lang w:eastAsia="en-AU"/>
              </w:rPr>
              <w:t>1,510</w:t>
            </w:r>
          </w:p>
        </w:tc>
        <w:tc>
          <w:tcPr>
            <w:tcW w:w="1478"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67878EB" w14:textId="77777777" w:rsidR="00E1716E" w:rsidRPr="00E1716E" w:rsidRDefault="00E1716E" w:rsidP="00E1716E">
            <w:pPr>
              <w:rPr>
                <w:lang w:eastAsia="en-AU"/>
              </w:rPr>
            </w:pPr>
            <w:r w:rsidRPr="00E1716E">
              <w:rPr>
                <w:lang w:eastAsia="en-AU"/>
              </w:rPr>
              <w:t>210</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6C3B9C4" w14:textId="77777777" w:rsidR="00E1716E" w:rsidRPr="00E1716E" w:rsidRDefault="00E1716E" w:rsidP="00E1716E">
            <w:pPr>
              <w:rPr>
                <w:lang w:eastAsia="en-AU"/>
              </w:rPr>
            </w:pPr>
            <w:r w:rsidRPr="00E1716E">
              <w:rPr>
                <w:lang w:eastAsia="en-AU"/>
              </w:rPr>
              <w:t>217</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DBA91B4" w14:textId="77777777" w:rsidR="00E1716E" w:rsidRPr="00E1716E" w:rsidRDefault="00E1716E" w:rsidP="00E1716E">
            <w:pPr>
              <w:rPr>
                <w:lang w:eastAsia="en-AU"/>
              </w:rPr>
            </w:pPr>
            <w:r w:rsidRPr="00E1716E">
              <w:rPr>
                <w:lang w:eastAsia="en-AU"/>
              </w:rPr>
              <w:t>153</w:t>
            </w:r>
          </w:p>
        </w:tc>
      </w:tr>
      <w:tr w:rsidR="00E1716E" w:rsidRPr="00E1716E" w14:paraId="6F414C52"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4F69F" w14:textId="77777777" w:rsidR="00E1716E" w:rsidRPr="00E1716E" w:rsidRDefault="00E1716E" w:rsidP="00E1716E">
            <w:pPr>
              <w:rPr>
                <w:lang w:eastAsia="en-AU"/>
              </w:rPr>
            </w:pPr>
            <w:r w:rsidRPr="00E1716E">
              <w:rPr>
                <w:lang w:eastAsia="en-AU"/>
              </w:rPr>
              <w:t>Expenditure (million)</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5DA26" w14:textId="77777777" w:rsidR="00E1716E" w:rsidRPr="00E1716E" w:rsidRDefault="00E1716E" w:rsidP="00E1716E">
            <w:pPr>
              <w:rPr>
                <w:lang w:eastAsia="en-AU"/>
              </w:rPr>
            </w:pPr>
            <w:r w:rsidRPr="00E1716E">
              <w:rPr>
                <w:lang w:eastAsia="en-AU"/>
              </w:rPr>
              <w:t>$4,637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EB9F9" w14:textId="77777777" w:rsidR="00E1716E" w:rsidRPr="00E1716E" w:rsidRDefault="00E1716E" w:rsidP="00E1716E">
            <w:pPr>
              <w:rPr>
                <w:lang w:eastAsia="en-AU"/>
              </w:rPr>
            </w:pPr>
            <w:r w:rsidRPr="00E1716E">
              <w:rPr>
                <w:lang w:eastAsia="en-AU"/>
              </w:rPr>
              <w:t>$2,146</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15AF3" w14:textId="77777777" w:rsidR="00E1716E" w:rsidRPr="00E1716E" w:rsidRDefault="00E1716E" w:rsidP="00E1716E">
            <w:pPr>
              <w:rPr>
                <w:lang w:eastAsia="en-AU"/>
              </w:rPr>
            </w:pPr>
            <w:r w:rsidRPr="00E1716E">
              <w:rPr>
                <w:lang w:eastAsia="en-AU"/>
              </w:rPr>
              <w:t>$927</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AFFC8" w14:textId="77777777" w:rsidR="00E1716E" w:rsidRPr="00E1716E" w:rsidRDefault="00E1716E" w:rsidP="00E1716E">
            <w:pPr>
              <w:rPr>
                <w:lang w:eastAsia="en-AU"/>
              </w:rPr>
            </w:pPr>
            <w:r w:rsidRPr="00E1716E">
              <w:rPr>
                <w:lang w:eastAsia="en-AU"/>
              </w:rPr>
              <w:t>$263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37DE4" w14:textId="77777777" w:rsidR="00E1716E" w:rsidRPr="00E1716E" w:rsidRDefault="00E1716E" w:rsidP="00E1716E">
            <w:pPr>
              <w:rPr>
                <w:lang w:eastAsia="en-AU"/>
              </w:rPr>
            </w:pPr>
            <w:r w:rsidRPr="00E1716E">
              <w:rPr>
                <w:lang w:eastAsia="en-AU"/>
              </w:rPr>
              <w:t>$198</w:t>
            </w:r>
          </w:p>
        </w:tc>
      </w:tr>
    </w:tbl>
    <w:p w14:paraId="3719E458" w14:textId="77777777" w:rsidR="00E1716E" w:rsidRPr="00E1716E" w:rsidRDefault="00E1716E" w:rsidP="00E1716E">
      <w:r w:rsidRPr="00E1716E">
        <w:t>*Electricity, Gas, Water &amp; Waste Services</w:t>
      </w:r>
    </w:p>
    <w:p w14:paraId="7759D5DD" w14:textId="77777777" w:rsidR="00E1716E" w:rsidRPr="00E1716E" w:rsidRDefault="00E1716E" w:rsidP="00E1716E">
      <w:pPr>
        <w:keepNext/>
        <w:keepLines/>
        <w:spacing w:before="320" w:after="160"/>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Comparison by sector – NSW (Top 5 Sectors, Incomplete 2020/21 income period)</w:t>
      </w:r>
    </w:p>
    <w:tbl>
      <w:tblPr>
        <w:tblW w:w="10065" w:type="dxa"/>
        <w:tblInd w:w="-5" w:type="dxa"/>
        <w:tblLayout w:type="fixed"/>
        <w:tblLook w:val="04A0" w:firstRow="1" w:lastRow="0" w:firstColumn="1" w:lastColumn="0" w:noHBand="0" w:noVBand="1"/>
      </w:tblPr>
      <w:tblGrid>
        <w:gridCol w:w="2420"/>
        <w:gridCol w:w="1529"/>
        <w:gridCol w:w="1580"/>
        <w:gridCol w:w="1478"/>
        <w:gridCol w:w="1529"/>
        <w:gridCol w:w="1529"/>
      </w:tblGrid>
      <w:tr w:rsidR="00E1716E" w:rsidRPr="00E1716E" w14:paraId="59C4A689"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C6E6D94" w14:textId="77777777" w:rsidR="00E1716E" w:rsidRPr="00E1716E" w:rsidRDefault="00E1716E" w:rsidP="00E1716E">
            <w:pPr>
              <w:rPr>
                <w:lang w:eastAsia="en-AU"/>
              </w:rPr>
            </w:pPr>
            <w:r w:rsidRPr="00E1716E">
              <w:rPr>
                <w:lang w:eastAsia="en-AU"/>
              </w:rPr>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36EAEFE" w14:textId="77777777" w:rsidR="00E1716E" w:rsidRPr="00E1716E" w:rsidRDefault="00E1716E" w:rsidP="00E1716E">
            <w:pPr>
              <w:rPr>
                <w:color w:val="FFFFFF" w:themeColor="background1"/>
                <w:lang w:eastAsia="en-AU"/>
              </w:rPr>
            </w:pPr>
            <w:r w:rsidRPr="00E1716E">
              <w:rPr>
                <w:color w:val="FFFFFF" w:themeColor="background1"/>
                <w:lang w:eastAsia="en-AU"/>
              </w:rPr>
              <w:t>Services</w:t>
            </w:r>
          </w:p>
        </w:tc>
        <w:tc>
          <w:tcPr>
            <w:tcW w:w="158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083C1327" w14:textId="77777777" w:rsidR="00E1716E" w:rsidRPr="00E1716E" w:rsidRDefault="00E1716E" w:rsidP="00E1716E">
            <w:pPr>
              <w:rPr>
                <w:color w:val="FFFFFF" w:themeColor="background1"/>
                <w:lang w:eastAsia="en-AU"/>
              </w:rPr>
            </w:pPr>
            <w:r w:rsidRPr="00E1716E">
              <w:rPr>
                <w:color w:val="FFFFFF" w:themeColor="background1"/>
                <w:lang w:eastAsia="en-AU"/>
              </w:rPr>
              <w:t>Manufacturing</w:t>
            </w:r>
          </w:p>
        </w:tc>
        <w:tc>
          <w:tcPr>
            <w:tcW w:w="1478"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03B78096" w14:textId="77777777" w:rsidR="00E1716E" w:rsidRPr="00E1716E" w:rsidRDefault="00E1716E" w:rsidP="00E1716E">
            <w:pPr>
              <w:rPr>
                <w:color w:val="FFFFFF" w:themeColor="background1"/>
                <w:lang w:eastAsia="en-AU"/>
              </w:rPr>
            </w:pPr>
            <w:r w:rsidRPr="00E1716E">
              <w:rPr>
                <w:color w:val="FFFFFF" w:themeColor="background1"/>
                <w:lang w:eastAsia="en-AU"/>
              </w:rPr>
              <w:t>Mining</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1CC9D8F" w14:textId="77777777" w:rsidR="00E1716E" w:rsidRPr="00E1716E" w:rsidRDefault="00E1716E" w:rsidP="00E1716E">
            <w:pPr>
              <w:rPr>
                <w:color w:val="FFFFFF" w:themeColor="background1"/>
                <w:lang w:eastAsia="en-AU"/>
              </w:rPr>
            </w:pPr>
            <w:r w:rsidRPr="00E1716E">
              <w:rPr>
                <w:color w:val="FFFFFF" w:themeColor="background1"/>
                <w:lang w:eastAsia="en-AU"/>
              </w:rPr>
              <w:t>Agriculture</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1C55117" w14:textId="77777777" w:rsidR="00E1716E" w:rsidRPr="00E1716E" w:rsidRDefault="00E1716E" w:rsidP="00E1716E">
            <w:pPr>
              <w:rPr>
                <w:color w:val="FFFFFF" w:themeColor="background1"/>
                <w:lang w:eastAsia="en-AU"/>
              </w:rPr>
            </w:pPr>
            <w:r w:rsidRPr="00E1716E">
              <w:rPr>
                <w:color w:val="FFFFFF" w:themeColor="background1"/>
                <w:lang w:eastAsia="en-AU"/>
              </w:rPr>
              <w:t>E,G,W &amp; WS*</w:t>
            </w:r>
          </w:p>
        </w:tc>
      </w:tr>
      <w:tr w:rsidR="00E1716E" w:rsidRPr="00E1716E" w14:paraId="0846EADC"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835C509" w14:textId="77777777" w:rsidR="00E1716E" w:rsidRPr="00E1716E" w:rsidRDefault="00E1716E" w:rsidP="00E1716E">
            <w:pPr>
              <w:rPr>
                <w:lang w:eastAsia="en-AU"/>
              </w:rPr>
            </w:pPr>
            <w:r w:rsidRPr="00E1716E">
              <w:rPr>
                <w:lang w:eastAsia="en-AU"/>
              </w:rPr>
              <w:t>Number of Registrations</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1D4E05B" w14:textId="77777777" w:rsidR="00E1716E" w:rsidRPr="00E1716E" w:rsidRDefault="00E1716E" w:rsidP="00E1716E">
            <w:pPr>
              <w:rPr>
                <w:lang w:eastAsia="en-AU"/>
              </w:rPr>
            </w:pPr>
            <w:r w:rsidRPr="00E1716E">
              <w:rPr>
                <w:lang w:eastAsia="en-AU"/>
              </w:rPr>
              <w:t>1,534</w:t>
            </w:r>
          </w:p>
        </w:tc>
        <w:tc>
          <w:tcPr>
            <w:tcW w:w="158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EAFE717" w14:textId="77777777" w:rsidR="00E1716E" w:rsidRPr="00E1716E" w:rsidRDefault="00E1716E" w:rsidP="00E1716E">
            <w:pPr>
              <w:rPr>
                <w:lang w:eastAsia="en-AU"/>
              </w:rPr>
            </w:pPr>
            <w:r w:rsidRPr="00E1716E">
              <w:rPr>
                <w:lang w:eastAsia="en-AU"/>
              </w:rPr>
              <w:t>476</w:t>
            </w:r>
          </w:p>
        </w:tc>
        <w:tc>
          <w:tcPr>
            <w:tcW w:w="1478"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D4123B7" w14:textId="77777777" w:rsidR="00E1716E" w:rsidRPr="00E1716E" w:rsidRDefault="00E1716E" w:rsidP="00E1716E">
            <w:pPr>
              <w:rPr>
                <w:lang w:eastAsia="en-AU"/>
              </w:rPr>
            </w:pPr>
            <w:r w:rsidRPr="00E1716E">
              <w:rPr>
                <w:lang w:eastAsia="en-AU"/>
              </w:rPr>
              <w:t>30</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03EC77" w14:textId="77777777" w:rsidR="00E1716E" w:rsidRPr="00E1716E" w:rsidRDefault="00E1716E" w:rsidP="00E1716E">
            <w:pPr>
              <w:rPr>
                <w:lang w:eastAsia="en-AU"/>
              </w:rPr>
            </w:pPr>
            <w:r w:rsidRPr="00E1716E">
              <w:rPr>
                <w:lang w:eastAsia="en-AU"/>
              </w:rPr>
              <w:t>53</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C934190" w14:textId="77777777" w:rsidR="00E1716E" w:rsidRPr="00E1716E" w:rsidRDefault="00E1716E" w:rsidP="00E1716E">
            <w:pPr>
              <w:rPr>
                <w:lang w:eastAsia="en-AU"/>
              </w:rPr>
            </w:pPr>
            <w:r w:rsidRPr="00E1716E">
              <w:rPr>
                <w:lang w:eastAsia="en-AU"/>
              </w:rPr>
              <w:t>54</w:t>
            </w:r>
          </w:p>
        </w:tc>
      </w:tr>
      <w:tr w:rsidR="00E1716E" w:rsidRPr="00E1716E" w14:paraId="6753DE9E"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CC095" w14:textId="77777777" w:rsidR="00E1716E" w:rsidRPr="00E1716E" w:rsidRDefault="00E1716E" w:rsidP="00E1716E">
            <w:pPr>
              <w:rPr>
                <w:lang w:eastAsia="en-AU"/>
              </w:rPr>
            </w:pPr>
            <w:r w:rsidRPr="00E1716E">
              <w:rPr>
                <w:lang w:eastAsia="en-AU"/>
              </w:rPr>
              <w:t>Expenditure (million)</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4D29F" w14:textId="77777777" w:rsidR="00E1716E" w:rsidRPr="00E1716E" w:rsidRDefault="00E1716E" w:rsidP="00E1716E">
            <w:pPr>
              <w:rPr>
                <w:lang w:eastAsia="en-AU"/>
              </w:rPr>
            </w:pPr>
            <w:r w:rsidRPr="00E1716E">
              <w:rPr>
                <w:lang w:eastAsia="en-AU"/>
              </w:rPr>
              <w:t>$2,248</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0E3F7" w14:textId="77777777" w:rsidR="00E1716E" w:rsidRPr="00E1716E" w:rsidRDefault="00E1716E" w:rsidP="00E1716E">
            <w:pPr>
              <w:rPr>
                <w:lang w:eastAsia="en-AU"/>
              </w:rPr>
            </w:pPr>
            <w:r w:rsidRPr="00E1716E">
              <w:rPr>
                <w:lang w:eastAsia="en-AU"/>
              </w:rPr>
              <w:t>$862</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6827F" w14:textId="77777777" w:rsidR="00E1716E" w:rsidRPr="00E1716E" w:rsidRDefault="00E1716E" w:rsidP="00E1716E">
            <w:pPr>
              <w:rPr>
                <w:lang w:eastAsia="en-AU"/>
              </w:rPr>
            </w:pPr>
            <w:r w:rsidRPr="00E1716E">
              <w:rPr>
                <w:lang w:eastAsia="en-AU"/>
              </w:rPr>
              <w:t>$94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476F" w14:textId="77777777" w:rsidR="00E1716E" w:rsidRPr="00E1716E" w:rsidRDefault="00E1716E" w:rsidP="00E1716E">
            <w:pPr>
              <w:rPr>
                <w:lang w:eastAsia="en-AU"/>
              </w:rPr>
            </w:pPr>
            <w:r w:rsidRPr="00E1716E">
              <w:rPr>
                <w:lang w:eastAsia="en-AU"/>
              </w:rPr>
              <w:t>$52</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64C8F" w14:textId="77777777" w:rsidR="00E1716E" w:rsidRPr="00E1716E" w:rsidRDefault="00E1716E" w:rsidP="00E1716E">
            <w:pPr>
              <w:rPr>
                <w:lang w:eastAsia="en-AU"/>
              </w:rPr>
            </w:pPr>
            <w:r w:rsidRPr="00E1716E">
              <w:rPr>
                <w:lang w:eastAsia="en-AU"/>
              </w:rPr>
              <w:t>$129</w:t>
            </w:r>
          </w:p>
        </w:tc>
      </w:tr>
    </w:tbl>
    <w:p w14:paraId="0986163E" w14:textId="77777777" w:rsidR="007B766B" w:rsidRDefault="007B766B" w:rsidP="00E1716E">
      <w:pPr>
        <w:keepNext/>
        <w:keepLines/>
        <w:spacing w:before="320" w:after="160"/>
        <w:outlineLvl w:val="2"/>
        <w:rPr>
          <w:rFonts w:asciiTheme="majorHAnsi" w:eastAsiaTheme="majorEastAsia" w:hAnsiTheme="majorHAnsi" w:cstheme="majorBidi"/>
          <w:color w:val="264F90" w:themeColor="accent2"/>
          <w:sz w:val="24"/>
          <w:szCs w:val="24"/>
        </w:rPr>
      </w:pPr>
    </w:p>
    <w:p w14:paraId="18D5F714" w14:textId="77777777" w:rsidR="007B766B" w:rsidRDefault="007B766B">
      <w:pPr>
        <w:rPr>
          <w:rFonts w:asciiTheme="majorHAnsi" w:eastAsiaTheme="majorEastAsia" w:hAnsiTheme="majorHAnsi" w:cstheme="majorBidi"/>
          <w:color w:val="264F90" w:themeColor="accent2"/>
          <w:sz w:val="24"/>
          <w:szCs w:val="24"/>
        </w:rPr>
      </w:pPr>
      <w:r>
        <w:rPr>
          <w:rFonts w:asciiTheme="majorHAnsi" w:eastAsiaTheme="majorEastAsia" w:hAnsiTheme="majorHAnsi" w:cstheme="majorBidi"/>
          <w:color w:val="264F90" w:themeColor="accent2"/>
          <w:sz w:val="24"/>
          <w:szCs w:val="24"/>
        </w:rPr>
        <w:br w:type="page"/>
      </w:r>
    </w:p>
    <w:p w14:paraId="179036FB" w14:textId="780FFFD1" w:rsidR="00E1716E" w:rsidRPr="00E1716E" w:rsidRDefault="00E1716E" w:rsidP="00E1716E">
      <w:pPr>
        <w:keepNext/>
        <w:keepLines/>
        <w:spacing w:before="320" w:after="160"/>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lastRenderedPageBreak/>
        <w:t>Comparison by sector – QLD (Top 5 Sectors, Incomplete 2020/21 income period)</w:t>
      </w:r>
    </w:p>
    <w:tbl>
      <w:tblPr>
        <w:tblW w:w="10065" w:type="dxa"/>
        <w:tblInd w:w="-5" w:type="dxa"/>
        <w:tblLayout w:type="fixed"/>
        <w:tblLook w:val="04A0" w:firstRow="1" w:lastRow="0" w:firstColumn="1" w:lastColumn="0" w:noHBand="0" w:noVBand="1"/>
      </w:tblPr>
      <w:tblGrid>
        <w:gridCol w:w="2420"/>
        <w:gridCol w:w="1529"/>
        <w:gridCol w:w="1580"/>
        <w:gridCol w:w="1478"/>
        <w:gridCol w:w="1529"/>
        <w:gridCol w:w="1529"/>
      </w:tblGrid>
      <w:tr w:rsidR="00E1716E" w:rsidRPr="00E1716E" w14:paraId="482F866A"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299FE06" w14:textId="77777777" w:rsidR="00E1716E" w:rsidRPr="00E1716E" w:rsidRDefault="00E1716E" w:rsidP="00E1716E">
            <w:pPr>
              <w:rPr>
                <w:lang w:eastAsia="en-AU"/>
              </w:rPr>
            </w:pPr>
            <w:r w:rsidRPr="00E1716E">
              <w:rPr>
                <w:lang w:eastAsia="en-AU"/>
              </w:rPr>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8B2E08E" w14:textId="77777777" w:rsidR="00E1716E" w:rsidRPr="00E1716E" w:rsidRDefault="00E1716E" w:rsidP="00E1716E">
            <w:pPr>
              <w:rPr>
                <w:color w:val="FFFFFF" w:themeColor="background1"/>
                <w:lang w:eastAsia="en-AU"/>
              </w:rPr>
            </w:pPr>
            <w:r w:rsidRPr="00E1716E">
              <w:rPr>
                <w:color w:val="FFFFFF" w:themeColor="background1"/>
                <w:lang w:eastAsia="en-AU"/>
              </w:rPr>
              <w:t>Services</w:t>
            </w:r>
          </w:p>
        </w:tc>
        <w:tc>
          <w:tcPr>
            <w:tcW w:w="158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15D8027" w14:textId="77777777" w:rsidR="00E1716E" w:rsidRPr="00E1716E" w:rsidRDefault="00E1716E" w:rsidP="00E1716E">
            <w:pPr>
              <w:rPr>
                <w:color w:val="FFFFFF" w:themeColor="background1"/>
                <w:lang w:eastAsia="en-AU"/>
              </w:rPr>
            </w:pPr>
            <w:r w:rsidRPr="00E1716E">
              <w:rPr>
                <w:color w:val="FFFFFF" w:themeColor="background1"/>
                <w:lang w:eastAsia="en-AU"/>
              </w:rPr>
              <w:t>Manufacturing</w:t>
            </w:r>
          </w:p>
        </w:tc>
        <w:tc>
          <w:tcPr>
            <w:tcW w:w="1478"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B0A2678" w14:textId="77777777" w:rsidR="00E1716E" w:rsidRPr="00E1716E" w:rsidRDefault="00E1716E" w:rsidP="00E1716E">
            <w:pPr>
              <w:rPr>
                <w:color w:val="FFFFFF" w:themeColor="background1"/>
                <w:lang w:eastAsia="en-AU"/>
              </w:rPr>
            </w:pPr>
            <w:r w:rsidRPr="00E1716E">
              <w:rPr>
                <w:color w:val="FFFFFF" w:themeColor="background1"/>
                <w:lang w:eastAsia="en-AU"/>
              </w:rPr>
              <w:t>Agriculture</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0F729C51" w14:textId="77777777" w:rsidR="00E1716E" w:rsidRPr="00E1716E" w:rsidRDefault="00E1716E" w:rsidP="00E1716E">
            <w:pPr>
              <w:rPr>
                <w:color w:val="FFFFFF" w:themeColor="background1"/>
                <w:lang w:eastAsia="en-AU"/>
              </w:rPr>
            </w:pPr>
            <w:r w:rsidRPr="00E1716E">
              <w:rPr>
                <w:color w:val="FFFFFF" w:themeColor="background1"/>
                <w:lang w:eastAsia="en-AU"/>
              </w:rPr>
              <w:t>Mining</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AE39748" w14:textId="77777777" w:rsidR="00E1716E" w:rsidRPr="00E1716E" w:rsidRDefault="00E1716E" w:rsidP="00E1716E">
            <w:pPr>
              <w:rPr>
                <w:color w:val="FFFFFF" w:themeColor="background1"/>
                <w:lang w:eastAsia="en-AU"/>
              </w:rPr>
            </w:pPr>
            <w:r w:rsidRPr="00E1716E">
              <w:rPr>
                <w:color w:val="FFFFFF" w:themeColor="background1"/>
                <w:lang w:eastAsia="en-AU"/>
              </w:rPr>
              <w:t>E,G,W &amp; WS*</w:t>
            </w:r>
          </w:p>
        </w:tc>
      </w:tr>
      <w:tr w:rsidR="00E1716E" w:rsidRPr="00E1716E" w14:paraId="4EE28FEB"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2446181" w14:textId="77777777" w:rsidR="00E1716E" w:rsidRPr="00E1716E" w:rsidRDefault="00E1716E" w:rsidP="00E1716E">
            <w:pPr>
              <w:rPr>
                <w:lang w:eastAsia="en-AU"/>
              </w:rPr>
            </w:pPr>
            <w:r w:rsidRPr="00E1716E">
              <w:rPr>
                <w:lang w:eastAsia="en-AU"/>
              </w:rPr>
              <w:t>Number of Registrations</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45D7943" w14:textId="77777777" w:rsidR="00E1716E" w:rsidRPr="00E1716E" w:rsidRDefault="00E1716E" w:rsidP="00E1716E">
            <w:pPr>
              <w:rPr>
                <w:lang w:eastAsia="en-AU"/>
              </w:rPr>
            </w:pPr>
            <w:r w:rsidRPr="00E1716E">
              <w:rPr>
                <w:lang w:eastAsia="en-AU"/>
              </w:rPr>
              <w:t>602</w:t>
            </w:r>
          </w:p>
        </w:tc>
        <w:tc>
          <w:tcPr>
            <w:tcW w:w="158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101F2A8" w14:textId="77777777" w:rsidR="00E1716E" w:rsidRPr="00E1716E" w:rsidRDefault="00E1716E" w:rsidP="00E1716E">
            <w:pPr>
              <w:rPr>
                <w:lang w:eastAsia="en-AU"/>
              </w:rPr>
            </w:pPr>
            <w:r w:rsidRPr="00E1716E">
              <w:rPr>
                <w:lang w:eastAsia="en-AU"/>
              </w:rPr>
              <w:t>330</w:t>
            </w:r>
          </w:p>
        </w:tc>
        <w:tc>
          <w:tcPr>
            <w:tcW w:w="1478"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2C6DF7E" w14:textId="77777777" w:rsidR="00E1716E" w:rsidRPr="00E1716E" w:rsidRDefault="00E1716E" w:rsidP="00E1716E">
            <w:pPr>
              <w:rPr>
                <w:lang w:eastAsia="en-AU"/>
              </w:rPr>
            </w:pPr>
            <w:r w:rsidRPr="00E1716E">
              <w:rPr>
                <w:lang w:eastAsia="en-AU"/>
              </w:rPr>
              <w:t>51</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2788AB0" w14:textId="77777777" w:rsidR="00E1716E" w:rsidRPr="00E1716E" w:rsidRDefault="00E1716E" w:rsidP="00E1716E">
            <w:pPr>
              <w:rPr>
                <w:lang w:eastAsia="en-AU"/>
              </w:rPr>
            </w:pPr>
            <w:r w:rsidRPr="00E1716E">
              <w:rPr>
                <w:lang w:eastAsia="en-AU"/>
              </w:rPr>
              <w:t>49</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56D5856" w14:textId="77777777" w:rsidR="00E1716E" w:rsidRPr="00E1716E" w:rsidRDefault="00E1716E" w:rsidP="00E1716E">
            <w:pPr>
              <w:rPr>
                <w:lang w:eastAsia="en-AU"/>
              </w:rPr>
            </w:pPr>
            <w:r w:rsidRPr="00E1716E">
              <w:rPr>
                <w:lang w:eastAsia="en-AU"/>
              </w:rPr>
              <w:t>23</w:t>
            </w:r>
          </w:p>
        </w:tc>
      </w:tr>
      <w:tr w:rsidR="00E1716E" w:rsidRPr="00E1716E" w14:paraId="29A0C28B"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7F872" w14:textId="77777777" w:rsidR="00E1716E" w:rsidRPr="00E1716E" w:rsidRDefault="00E1716E" w:rsidP="00E1716E">
            <w:pPr>
              <w:rPr>
                <w:lang w:eastAsia="en-AU"/>
              </w:rPr>
            </w:pPr>
            <w:r w:rsidRPr="00E1716E">
              <w:rPr>
                <w:lang w:eastAsia="en-AU"/>
              </w:rPr>
              <w:t>Expenditure (million)</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31199" w14:textId="77777777" w:rsidR="00E1716E" w:rsidRPr="00E1716E" w:rsidRDefault="00E1716E" w:rsidP="00E1716E">
            <w:pPr>
              <w:rPr>
                <w:lang w:eastAsia="en-AU"/>
              </w:rPr>
            </w:pPr>
            <w:r w:rsidRPr="00E1716E">
              <w:rPr>
                <w:lang w:eastAsia="en-AU"/>
              </w:rPr>
              <w:t>$402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6C870" w14:textId="77777777" w:rsidR="00E1716E" w:rsidRPr="00E1716E" w:rsidRDefault="00E1716E" w:rsidP="00E1716E">
            <w:pPr>
              <w:rPr>
                <w:lang w:eastAsia="en-AU"/>
              </w:rPr>
            </w:pPr>
            <w:r w:rsidRPr="00E1716E">
              <w:rPr>
                <w:lang w:eastAsia="en-AU"/>
              </w:rPr>
              <w:t>$372</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450D3" w14:textId="77777777" w:rsidR="00E1716E" w:rsidRPr="00E1716E" w:rsidRDefault="00E1716E" w:rsidP="00E1716E">
            <w:pPr>
              <w:rPr>
                <w:lang w:eastAsia="en-AU"/>
              </w:rPr>
            </w:pPr>
            <w:r w:rsidRPr="00E1716E">
              <w:rPr>
                <w:lang w:eastAsia="en-AU"/>
              </w:rPr>
              <w:t>$45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D6F52" w14:textId="77777777" w:rsidR="00E1716E" w:rsidRPr="00E1716E" w:rsidRDefault="00E1716E" w:rsidP="00E1716E">
            <w:pPr>
              <w:rPr>
                <w:lang w:eastAsia="en-AU"/>
              </w:rPr>
            </w:pPr>
            <w:r w:rsidRPr="00E1716E">
              <w:rPr>
                <w:lang w:eastAsia="en-AU"/>
              </w:rPr>
              <w:t>$109</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446E5" w14:textId="77777777" w:rsidR="00E1716E" w:rsidRPr="00E1716E" w:rsidRDefault="00E1716E" w:rsidP="00E1716E">
            <w:pPr>
              <w:rPr>
                <w:lang w:eastAsia="en-AU"/>
              </w:rPr>
            </w:pPr>
            <w:r w:rsidRPr="00E1716E">
              <w:rPr>
                <w:lang w:eastAsia="en-AU"/>
              </w:rPr>
              <w:t>$13</w:t>
            </w:r>
          </w:p>
        </w:tc>
      </w:tr>
    </w:tbl>
    <w:p w14:paraId="17541202" w14:textId="77777777" w:rsidR="00E1716E" w:rsidRPr="00E1716E" w:rsidRDefault="00E1716E" w:rsidP="00E1716E">
      <w:pPr>
        <w:keepNext/>
        <w:keepLines/>
        <w:spacing w:before="320" w:after="160"/>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Comparison by sector – WA (Top 5 Sectors, Incomplete 2020/21 income period)</w:t>
      </w:r>
    </w:p>
    <w:tbl>
      <w:tblPr>
        <w:tblW w:w="10065" w:type="dxa"/>
        <w:tblInd w:w="-5" w:type="dxa"/>
        <w:tblLayout w:type="fixed"/>
        <w:tblLook w:val="04A0" w:firstRow="1" w:lastRow="0" w:firstColumn="1" w:lastColumn="0" w:noHBand="0" w:noVBand="1"/>
      </w:tblPr>
      <w:tblGrid>
        <w:gridCol w:w="2420"/>
        <w:gridCol w:w="1529"/>
        <w:gridCol w:w="1580"/>
        <w:gridCol w:w="1478"/>
        <w:gridCol w:w="1529"/>
        <w:gridCol w:w="1529"/>
      </w:tblGrid>
      <w:tr w:rsidR="00E1716E" w:rsidRPr="00E1716E" w14:paraId="3B512544"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0F43A375" w14:textId="77777777" w:rsidR="00E1716E" w:rsidRPr="00E1716E" w:rsidRDefault="00E1716E" w:rsidP="00E1716E">
            <w:pPr>
              <w:rPr>
                <w:lang w:eastAsia="en-AU"/>
              </w:rPr>
            </w:pPr>
            <w:r w:rsidRPr="00E1716E">
              <w:rPr>
                <w:lang w:eastAsia="en-AU"/>
              </w:rPr>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0E272FB" w14:textId="77777777" w:rsidR="00E1716E" w:rsidRPr="00E1716E" w:rsidRDefault="00E1716E" w:rsidP="00E1716E">
            <w:pPr>
              <w:rPr>
                <w:color w:val="FFFFFF" w:themeColor="background1"/>
                <w:lang w:eastAsia="en-AU"/>
              </w:rPr>
            </w:pPr>
            <w:r w:rsidRPr="00E1716E">
              <w:rPr>
                <w:color w:val="FFFFFF" w:themeColor="background1"/>
                <w:lang w:eastAsia="en-AU"/>
              </w:rPr>
              <w:t>Services</w:t>
            </w:r>
          </w:p>
        </w:tc>
        <w:tc>
          <w:tcPr>
            <w:tcW w:w="158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7A61D8DA" w14:textId="77777777" w:rsidR="00E1716E" w:rsidRPr="00E1716E" w:rsidRDefault="00E1716E" w:rsidP="00E1716E">
            <w:pPr>
              <w:rPr>
                <w:color w:val="FFFFFF" w:themeColor="background1"/>
                <w:lang w:eastAsia="en-AU"/>
              </w:rPr>
            </w:pPr>
            <w:r w:rsidRPr="00E1716E">
              <w:rPr>
                <w:color w:val="FFFFFF" w:themeColor="background1"/>
                <w:lang w:eastAsia="en-AU"/>
              </w:rPr>
              <w:t>Manufacturing</w:t>
            </w:r>
          </w:p>
        </w:tc>
        <w:tc>
          <w:tcPr>
            <w:tcW w:w="1478"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6C922F3" w14:textId="77777777" w:rsidR="00E1716E" w:rsidRPr="00E1716E" w:rsidRDefault="00E1716E" w:rsidP="00E1716E">
            <w:pPr>
              <w:rPr>
                <w:color w:val="FFFFFF" w:themeColor="background1"/>
                <w:lang w:eastAsia="en-AU"/>
              </w:rPr>
            </w:pPr>
            <w:r w:rsidRPr="00E1716E">
              <w:rPr>
                <w:color w:val="FFFFFF" w:themeColor="background1"/>
                <w:lang w:eastAsia="en-AU"/>
              </w:rPr>
              <w:t>Agriculture</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D4E9294" w14:textId="77777777" w:rsidR="00E1716E" w:rsidRPr="00E1716E" w:rsidRDefault="00E1716E" w:rsidP="00E1716E">
            <w:pPr>
              <w:rPr>
                <w:color w:val="FFFFFF" w:themeColor="background1"/>
                <w:lang w:eastAsia="en-AU"/>
              </w:rPr>
            </w:pPr>
            <w:r w:rsidRPr="00E1716E">
              <w:rPr>
                <w:color w:val="FFFFFF" w:themeColor="background1"/>
                <w:lang w:eastAsia="en-AU"/>
              </w:rPr>
              <w:t>Mining</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0A5A0A7D" w14:textId="77777777" w:rsidR="00E1716E" w:rsidRPr="00E1716E" w:rsidRDefault="00E1716E" w:rsidP="00E1716E">
            <w:pPr>
              <w:rPr>
                <w:color w:val="FFFFFF" w:themeColor="background1"/>
                <w:lang w:eastAsia="en-AU"/>
              </w:rPr>
            </w:pPr>
            <w:r w:rsidRPr="00E1716E">
              <w:rPr>
                <w:color w:val="FFFFFF" w:themeColor="background1"/>
                <w:lang w:eastAsia="en-AU"/>
              </w:rPr>
              <w:t>E,G,W &amp; WS*</w:t>
            </w:r>
          </w:p>
        </w:tc>
      </w:tr>
      <w:tr w:rsidR="00E1716E" w:rsidRPr="00E1716E" w14:paraId="48F4581C"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30F82F6" w14:textId="77777777" w:rsidR="00E1716E" w:rsidRPr="00E1716E" w:rsidRDefault="00E1716E" w:rsidP="00E1716E">
            <w:pPr>
              <w:rPr>
                <w:lang w:eastAsia="en-AU"/>
              </w:rPr>
            </w:pPr>
            <w:r w:rsidRPr="00E1716E">
              <w:rPr>
                <w:lang w:eastAsia="en-AU"/>
              </w:rPr>
              <w:t>Number of Registrations</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51FE85D" w14:textId="77777777" w:rsidR="00E1716E" w:rsidRPr="00E1716E" w:rsidRDefault="00E1716E" w:rsidP="00E1716E">
            <w:pPr>
              <w:rPr>
                <w:lang w:eastAsia="en-AU"/>
              </w:rPr>
            </w:pPr>
            <w:r w:rsidRPr="00E1716E">
              <w:rPr>
                <w:lang w:eastAsia="en-AU"/>
              </w:rPr>
              <w:t>313</w:t>
            </w:r>
          </w:p>
        </w:tc>
        <w:tc>
          <w:tcPr>
            <w:tcW w:w="158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4221F2F" w14:textId="77777777" w:rsidR="00E1716E" w:rsidRPr="00E1716E" w:rsidRDefault="00E1716E" w:rsidP="00E1716E">
            <w:pPr>
              <w:rPr>
                <w:lang w:eastAsia="en-AU"/>
              </w:rPr>
            </w:pPr>
            <w:r w:rsidRPr="00E1716E">
              <w:rPr>
                <w:lang w:eastAsia="en-AU"/>
              </w:rPr>
              <w:t>157</w:t>
            </w:r>
          </w:p>
        </w:tc>
        <w:tc>
          <w:tcPr>
            <w:tcW w:w="1478"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C134164" w14:textId="77777777" w:rsidR="00E1716E" w:rsidRPr="00E1716E" w:rsidRDefault="00E1716E" w:rsidP="00E1716E">
            <w:pPr>
              <w:rPr>
                <w:lang w:eastAsia="en-AU"/>
              </w:rPr>
            </w:pPr>
            <w:r w:rsidRPr="00E1716E">
              <w:rPr>
                <w:lang w:eastAsia="en-AU"/>
              </w:rPr>
              <w:t>28</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9C061B5" w14:textId="77777777" w:rsidR="00E1716E" w:rsidRPr="00E1716E" w:rsidRDefault="00E1716E" w:rsidP="00E1716E">
            <w:pPr>
              <w:rPr>
                <w:lang w:eastAsia="en-AU"/>
              </w:rPr>
            </w:pPr>
            <w:r w:rsidRPr="00E1716E">
              <w:rPr>
                <w:lang w:eastAsia="en-AU"/>
              </w:rPr>
              <w:t>97</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471486D" w14:textId="77777777" w:rsidR="00E1716E" w:rsidRPr="00E1716E" w:rsidRDefault="00E1716E" w:rsidP="00E1716E">
            <w:pPr>
              <w:rPr>
                <w:lang w:eastAsia="en-AU"/>
              </w:rPr>
            </w:pPr>
            <w:r w:rsidRPr="00E1716E">
              <w:rPr>
                <w:lang w:eastAsia="en-AU"/>
              </w:rPr>
              <w:t>29</w:t>
            </w:r>
          </w:p>
        </w:tc>
      </w:tr>
      <w:tr w:rsidR="00E1716E" w:rsidRPr="00E1716E" w14:paraId="0883FDE8"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51432" w14:textId="77777777" w:rsidR="00E1716E" w:rsidRPr="00E1716E" w:rsidRDefault="00E1716E" w:rsidP="00E1716E">
            <w:pPr>
              <w:rPr>
                <w:lang w:eastAsia="en-AU"/>
              </w:rPr>
            </w:pPr>
            <w:r w:rsidRPr="00E1716E">
              <w:rPr>
                <w:lang w:eastAsia="en-AU"/>
              </w:rPr>
              <w:t>Expenditure (million)</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49CD4" w14:textId="77777777" w:rsidR="00E1716E" w:rsidRPr="00E1716E" w:rsidRDefault="00E1716E" w:rsidP="00E1716E">
            <w:pPr>
              <w:rPr>
                <w:lang w:eastAsia="en-AU"/>
              </w:rPr>
            </w:pPr>
            <w:r w:rsidRPr="00E1716E">
              <w:rPr>
                <w:lang w:eastAsia="en-AU"/>
              </w:rPr>
              <w:t>$268</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1429E" w14:textId="77777777" w:rsidR="00E1716E" w:rsidRPr="00E1716E" w:rsidRDefault="00E1716E" w:rsidP="00E1716E">
            <w:pPr>
              <w:rPr>
                <w:lang w:eastAsia="en-AU"/>
              </w:rPr>
            </w:pPr>
            <w:r w:rsidRPr="00E1716E">
              <w:rPr>
                <w:lang w:eastAsia="en-AU"/>
              </w:rPr>
              <w:t>$124</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55374" w14:textId="77777777" w:rsidR="00E1716E" w:rsidRPr="00E1716E" w:rsidRDefault="00E1716E" w:rsidP="00E1716E">
            <w:pPr>
              <w:rPr>
                <w:lang w:eastAsia="en-AU"/>
              </w:rPr>
            </w:pPr>
            <w:r w:rsidRPr="00E1716E">
              <w:rPr>
                <w:lang w:eastAsia="en-AU"/>
              </w:rPr>
              <w:t>$31</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F81DA" w14:textId="77777777" w:rsidR="00E1716E" w:rsidRPr="00E1716E" w:rsidRDefault="00E1716E" w:rsidP="00E1716E">
            <w:pPr>
              <w:rPr>
                <w:lang w:eastAsia="en-AU"/>
              </w:rPr>
            </w:pPr>
            <w:r w:rsidRPr="00E1716E">
              <w:rPr>
                <w:lang w:eastAsia="en-AU"/>
              </w:rPr>
              <w:t>$516</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55393" w14:textId="77777777" w:rsidR="00E1716E" w:rsidRPr="00E1716E" w:rsidRDefault="00E1716E" w:rsidP="00E1716E">
            <w:pPr>
              <w:rPr>
                <w:lang w:eastAsia="en-AU"/>
              </w:rPr>
            </w:pPr>
            <w:r w:rsidRPr="00E1716E">
              <w:rPr>
                <w:lang w:eastAsia="en-AU"/>
              </w:rPr>
              <w:t>$13</w:t>
            </w:r>
          </w:p>
        </w:tc>
      </w:tr>
    </w:tbl>
    <w:p w14:paraId="4AB0560B" w14:textId="77777777" w:rsidR="00E1716E" w:rsidRPr="00E1716E" w:rsidRDefault="00E1716E" w:rsidP="00E1716E">
      <w:pPr>
        <w:keepNext/>
        <w:keepLines/>
        <w:spacing w:before="320" w:after="160"/>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Comparison by sector – SA &amp; NT** (Top 5 Sectors, Incomplete 2020/21 income period)</w:t>
      </w:r>
    </w:p>
    <w:tbl>
      <w:tblPr>
        <w:tblW w:w="10065" w:type="dxa"/>
        <w:tblInd w:w="-5" w:type="dxa"/>
        <w:tblLayout w:type="fixed"/>
        <w:tblLook w:val="04A0" w:firstRow="1" w:lastRow="0" w:firstColumn="1" w:lastColumn="0" w:noHBand="0" w:noVBand="1"/>
      </w:tblPr>
      <w:tblGrid>
        <w:gridCol w:w="2420"/>
        <w:gridCol w:w="1529"/>
        <w:gridCol w:w="1580"/>
        <w:gridCol w:w="1478"/>
        <w:gridCol w:w="1529"/>
        <w:gridCol w:w="1529"/>
      </w:tblGrid>
      <w:tr w:rsidR="00E1716E" w:rsidRPr="00E1716E" w14:paraId="6D826350"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69E1B6A4" w14:textId="77777777" w:rsidR="00E1716E" w:rsidRPr="00E1716E" w:rsidRDefault="00E1716E" w:rsidP="00E1716E">
            <w:pPr>
              <w:rPr>
                <w:lang w:eastAsia="en-AU"/>
              </w:rPr>
            </w:pPr>
            <w:r w:rsidRPr="00E1716E">
              <w:rPr>
                <w:lang w:eastAsia="en-AU"/>
              </w:rPr>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32898D5" w14:textId="77777777" w:rsidR="00E1716E" w:rsidRPr="00E1716E" w:rsidRDefault="00E1716E" w:rsidP="00E1716E">
            <w:pPr>
              <w:rPr>
                <w:color w:val="FFFFFF" w:themeColor="background1"/>
                <w:lang w:eastAsia="en-AU"/>
              </w:rPr>
            </w:pPr>
            <w:r w:rsidRPr="00E1716E">
              <w:rPr>
                <w:color w:val="FFFFFF" w:themeColor="background1"/>
                <w:lang w:eastAsia="en-AU"/>
              </w:rPr>
              <w:t>Services</w:t>
            </w:r>
          </w:p>
        </w:tc>
        <w:tc>
          <w:tcPr>
            <w:tcW w:w="158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77BE265" w14:textId="77777777" w:rsidR="00E1716E" w:rsidRPr="00E1716E" w:rsidRDefault="00E1716E" w:rsidP="00E1716E">
            <w:pPr>
              <w:rPr>
                <w:color w:val="FFFFFF" w:themeColor="background1"/>
                <w:lang w:eastAsia="en-AU"/>
              </w:rPr>
            </w:pPr>
            <w:r w:rsidRPr="00E1716E">
              <w:rPr>
                <w:color w:val="FFFFFF" w:themeColor="background1"/>
                <w:lang w:eastAsia="en-AU"/>
              </w:rPr>
              <w:t>Manufacturing</w:t>
            </w:r>
          </w:p>
        </w:tc>
        <w:tc>
          <w:tcPr>
            <w:tcW w:w="1478"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06A90D51" w14:textId="77777777" w:rsidR="00E1716E" w:rsidRPr="00E1716E" w:rsidRDefault="00E1716E" w:rsidP="00E1716E">
            <w:pPr>
              <w:rPr>
                <w:color w:val="FFFFFF" w:themeColor="background1"/>
                <w:lang w:eastAsia="en-AU"/>
              </w:rPr>
            </w:pPr>
            <w:r w:rsidRPr="00E1716E">
              <w:rPr>
                <w:color w:val="FFFFFF" w:themeColor="background1"/>
                <w:lang w:eastAsia="en-AU"/>
              </w:rPr>
              <w:t>Agriculture</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E70A0FD" w14:textId="77777777" w:rsidR="00E1716E" w:rsidRPr="00E1716E" w:rsidRDefault="00E1716E" w:rsidP="00E1716E">
            <w:pPr>
              <w:rPr>
                <w:color w:val="FFFFFF" w:themeColor="background1"/>
                <w:lang w:eastAsia="en-AU"/>
              </w:rPr>
            </w:pPr>
            <w:r w:rsidRPr="00E1716E">
              <w:rPr>
                <w:color w:val="FFFFFF" w:themeColor="background1"/>
                <w:lang w:eastAsia="en-AU"/>
              </w:rPr>
              <w:t>Mining</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61DCC51A" w14:textId="77777777" w:rsidR="00E1716E" w:rsidRPr="00E1716E" w:rsidRDefault="00E1716E" w:rsidP="00E1716E">
            <w:pPr>
              <w:rPr>
                <w:color w:val="FFFFFF" w:themeColor="background1"/>
                <w:lang w:eastAsia="en-AU"/>
              </w:rPr>
            </w:pPr>
            <w:r w:rsidRPr="00E1716E">
              <w:rPr>
                <w:color w:val="FFFFFF" w:themeColor="background1"/>
                <w:lang w:eastAsia="en-AU"/>
              </w:rPr>
              <w:t>E,G,W &amp; WS*</w:t>
            </w:r>
          </w:p>
        </w:tc>
      </w:tr>
      <w:tr w:rsidR="00E1716E" w:rsidRPr="00E1716E" w14:paraId="5B74DCDC"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E28F158" w14:textId="77777777" w:rsidR="00E1716E" w:rsidRPr="00E1716E" w:rsidRDefault="00E1716E" w:rsidP="00E1716E">
            <w:pPr>
              <w:rPr>
                <w:lang w:eastAsia="en-AU"/>
              </w:rPr>
            </w:pPr>
            <w:r w:rsidRPr="00E1716E">
              <w:rPr>
                <w:lang w:eastAsia="en-AU"/>
              </w:rPr>
              <w:t>Number of Registrations</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3BF8B6B" w14:textId="77777777" w:rsidR="00E1716E" w:rsidRPr="00E1716E" w:rsidRDefault="00E1716E" w:rsidP="00E1716E">
            <w:pPr>
              <w:rPr>
                <w:lang w:eastAsia="en-AU"/>
              </w:rPr>
            </w:pPr>
            <w:r w:rsidRPr="00E1716E">
              <w:rPr>
                <w:lang w:eastAsia="en-AU"/>
              </w:rPr>
              <w:t>148</w:t>
            </w:r>
          </w:p>
        </w:tc>
        <w:tc>
          <w:tcPr>
            <w:tcW w:w="158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6546888" w14:textId="77777777" w:rsidR="00E1716E" w:rsidRPr="00E1716E" w:rsidRDefault="00E1716E" w:rsidP="00E1716E">
            <w:pPr>
              <w:rPr>
                <w:lang w:eastAsia="en-AU"/>
              </w:rPr>
            </w:pPr>
            <w:r w:rsidRPr="00E1716E">
              <w:rPr>
                <w:lang w:eastAsia="en-AU"/>
              </w:rPr>
              <w:t>85</w:t>
            </w:r>
          </w:p>
        </w:tc>
        <w:tc>
          <w:tcPr>
            <w:tcW w:w="1478"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F3AE906" w14:textId="77777777" w:rsidR="00E1716E" w:rsidRPr="00E1716E" w:rsidRDefault="00E1716E" w:rsidP="00E1716E">
            <w:pPr>
              <w:rPr>
                <w:lang w:eastAsia="en-AU"/>
              </w:rPr>
            </w:pPr>
            <w:r w:rsidRPr="00E1716E">
              <w:rPr>
                <w:lang w:eastAsia="en-AU"/>
              </w:rPr>
              <w:t>15</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20A46D2" w14:textId="77777777" w:rsidR="00E1716E" w:rsidRPr="00E1716E" w:rsidRDefault="00E1716E" w:rsidP="00E1716E">
            <w:pPr>
              <w:rPr>
                <w:lang w:eastAsia="en-AU"/>
              </w:rPr>
            </w:pPr>
            <w:r w:rsidRPr="00E1716E">
              <w:rPr>
                <w:lang w:eastAsia="en-AU"/>
              </w:rPr>
              <w:t>11</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F4BD69B" w14:textId="77777777" w:rsidR="00E1716E" w:rsidRPr="00E1716E" w:rsidRDefault="00E1716E" w:rsidP="00E1716E">
            <w:pPr>
              <w:rPr>
                <w:lang w:eastAsia="en-AU"/>
              </w:rPr>
            </w:pPr>
            <w:r w:rsidRPr="00E1716E">
              <w:rPr>
                <w:lang w:eastAsia="en-AU"/>
              </w:rPr>
              <w:t>9</w:t>
            </w:r>
          </w:p>
        </w:tc>
      </w:tr>
      <w:tr w:rsidR="00E1716E" w:rsidRPr="00E1716E" w14:paraId="7E20BC86"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9DAFC" w14:textId="77777777" w:rsidR="00E1716E" w:rsidRPr="00E1716E" w:rsidRDefault="00E1716E" w:rsidP="00E1716E">
            <w:pPr>
              <w:rPr>
                <w:lang w:eastAsia="en-AU"/>
              </w:rPr>
            </w:pPr>
            <w:r w:rsidRPr="00E1716E">
              <w:rPr>
                <w:lang w:eastAsia="en-AU"/>
              </w:rPr>
              <w:t>Expenditure (million)</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2C114" w14:textId="77777777" w:rsidR="00E1716E" w:rsidRPr="00E1716E" w:rsidRDefault="00E1716E" w:rsidP="00E1716E">
            <w:pPr>
              <w:rPr>
                <w:lang w:eastAsia="en-AU"/>
              </w:rPr>
            </w:pPr>
            <w:r w:rsidRPr="00E1716E">
              <w:rPr>
                <w:lang w:eastAsia="en-AU"/>
              </w:rPr>
              <w:t>$142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5D357" w14:textId="77777777" w:rsidR="00E1716E" w:rsidRPr="00E1716E" w:rsidRDefault="00E1716E" w:rsidP="00E1716E">
            <w:pPr>
              <w:rPr>
                <w:lang w:eastAsia="en-AU"/>
              </w:rPr>
            </w:pPr>
            <w:r w:rsidRPr="00E1716E">
              <w:rPr>
                <w:lang w:eastAsia="en-AU"/>
              </w:rPr>
              <w:t>$91</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777C" w14:textId="77777777" w:rsidR="00E1716E" w:rsidRPr="00E1716E" w:rsidRDefault="00E1716E" w:rsidP="00E1716E">
            <w:pPr>
              <w:rPr>
                <w:lang w:eastAsia="en-AU"/>
              </w:rPr>
            </w:pPr>
            <w:r w:rsidRPr="00E1716E">
              <w:rPr>
                <w:lang w:eastAsia="en-AU"/>
              </w:rPr>
              <w:t>$7</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9C9CE" w14:textId="77777777" w:rsidR="00E1716E" w:rsidRPr="00E1716E" w:rsidRDefault="00E1716E" w:rsidP="00E1716E">
            <w:pPr>
              <w:rPr>
                <w:lang w:eastAsia="en-AU"/>
              </w:rPr>
            </w:pPr>
            <w:r w:rsidRPr="00E1716E">
              <w:rPr>
                <w:lang w:eastAsia="en-AU"/>
              </w:rPr>
              <w:t>$48</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FC40B" w14:textId="77777777" w:rsidR="00E1716E" w:rsidRPr="00E1716E" w:rsidRDefault="00E1716E" w:rsidP="00E1716E">
            <w:pPr>
              <w:rPr>
                <w:lang w:eastAsia="en-AU"/>
              </w:rPr>
            </w:pPr>
            <w:r w:rsidRPr="00E1716E">
              <w:rPr>
                <w:lang w:eastAsia="en-AU"/>
              </w:rPr>
              <w:t>$4</w:t>
            </w:r>
          </w:p>
        </w:tc>
      </w:tr>
    </w:tbl>
    <w:p w14:paraId="48ED5B69" w14:textId="77777777" w:rsidR="00E1716E" w:rsidRPr="00E1716E" w:rsidRDefault="00E1716E" w:rsidP="00E1716E">
      <w:pPr>
        <w:keepNext/>
        <w:keepLines/>
        <w:spacing w:before="320" w:after="160"/>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Comparison by sector – VIC (Top 5 Sectors, Incomplete 2020/21 income period)</w:t>
      </w:r>
    </w:p>
    <w:tbl>
      <w:tblPr>
        <w:tblW w:w="10065" w:type="dxa"/>
        <w:tblInd w:w="-5" w:type="dxa"/>
        <w:tblLayout w:type="fixed"/>
        <w:tblLook w:val="04A0" w:firstRow="1" w:lastRow="0" w:firstColumn="1" w:lastColumn="0" w:noHBand="0" w:noVBand="1"/>
      </w:tblPr>
      <w:tblGrid>
        <w:gridCol w:w="2420"/>
        <w:gridCol w:w="1529"/>
        <w:gridCol w:w="1580"/>
        <w:gridCol w:w="1478"/>
        <w:gridCol w:w="1529"/>
        <w:gridCol w:w="1529"/>
      </w:tblGrid>
      <w:tr w:rsidR="00E1716E" w:rsidRPr="00E1716E" w14:paraId="48000EDE"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54D8B95D" w14:textId="77777777" w:rsidR="00E1716E" w:rsidRPr="00E1716E" w:rsidRDefault="00E1716E" w:rsidP="00E1716E">
            <w:pPr>
              <w:rPr>
                <w:lang w:eastAsia="en-AU"/>
              </w:rPr>
            </w:pPr>
            <w:r w:rsidRPr="00E1716E">
              <w:rPr>
                <w:lang w:eastAsia="en-AU"/>
              </w:rPr>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94C060B" w14:textId="77777777" w:rsidR="00E1716E" w:rsidRPr="00E1716E" w:rsidRDefault="00E1716E" w:rsidP="00E1716E">
            <w:pPr>
              <w:rPr>
                <w:color w:val="FFFFFF" w:themeColor="background1"/>
                <w:lang w:eastAsia="en-AU"/>
              </w:rPr>
            </w:pPr>
            <w:r w:rsidRPr="00E1716E">
              <w:rPr>
                <w:color w:val="FFFFFF" w:themeColor="background1"/>
                <w:lang w:eastAsia="en-AU"/>
              </w:rPr>
              <w:t>Services</w:t>
            </w:r>
          </w:p>
        </w:tc>
        <w:tc>
          <w:tcPr>
            <w:tcW w:w="158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490A4FF" w14:textId="77777777" w:rsidR="00E1716E" w:rsidRPr="00E1716E" w:rsidRDefault="00E1716E" w:rsidP="00E1716E">
            <w:pPr>
              <w:rPr>
                <w:color w:val="FFFFFF" w:themeColor="background1"/>
                <w:lang w:eastAsia="en-AU"/>
              </w:rPr>
            </w:pPr>
            <w:r w:rsidRPr="00E1716E">
              <w:rPr>
                <w:color w:val="FFFFFF" w:themeColor="background1"/>
                <w:lang w:eastAsia="en-AU"/>
              </w:rPr>
              <w:t>Manufacturing</w:t>
            </w:r>
          </w:p>
        </w:tc>
        <w:tc>
          <w:tcPr>
            <w:tcW w:w="1478"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0C168BAE" w14:textId="77777777" w:rsidR="00E1716E" w:rsidRPr="00E1716E" w:rsidRDefault="00E1716E" w:rsidP="00E1716E">
            <w:pPr>
              <w:rPr>
                <w:color w:val="FFFFFF" w:themeColor="background1"/>
                <w:lang w:eastAsia="en-AU"/>
              </w:rPr>
            </w:pPr>
            <w:r w:rsidRPr="00E1716E">
              <w:rPr>
                <w:color w:val="FFFFFF" w:themeColor="background1"/>
                <w:lang w:eastAsia="en-AU"/>
              </w:rPr>
              <w:t>Agriculture</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57F938CC" w14:textId="77777777" w:rsidR="00E1716E" w:rsidRPr="00E1716E" w:rsidRDefault="00E1716E" w:rsidP="00E1716E">
            <w:pPr>
              <w:rPr>
                <w:color w:val="FFFFFF" w:themeColor="background1"/>
                <w:lang w:eastAsia="en-AU"/>
              </w:rPr>
            </w:pPr>
            <w:r w:rsidRPr="00E1716E">
              <w:rPr>
                <w:color w:val="FFFFFF" w:themeColor="background1"/>
                <w:lang w:eastAsia="en-AU"/>
              </w:rPr>
              <w:t>Mining</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0F04D8DB" w14:textId="77777777" w:rsidR="00E1716E" w:rsidRPr="00E1716E" w:rsidRDefault="00E1716E" w:rsidP="00E1716E">
            <w:pPr>
              <w:rPr>
                <w:color w:val="FFFFFF" w:themeColor="background1"/>
                <w:lang w:eastAsia="en-AU"/>
              </w:rPr>
            </w:pPr>
            <w:r w:rsidRPr="00E1716E">
              <w:rPr>
                <w:color w:val="FFFFFF" w:themeColor="background1"/>
                <w:lang w:eastAsia="en-AU"/>
              </w:rPr>
              <w:t>E,G,W &amp; WS*</w:t>
            </w:r>
          </w:p>
        </w:tc>
      </w:tr>
      <w:tr w:rsidR="00E1716E" w:rsidRPr="00E1716E" w14:paraId="7F1879D7"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5473529" w14:textId="77777777" w:rsidR="00E1716E" w:rsidRPr="00E1716E" w:rsidRDefault="00E1716E" w:rsidP="00E1716E">
            <w:pPr>
              <w:rPr>
                <w:lang w:eastAsia="en-AU"/>
              </w:rPr>
            </w:pPr>
            <w:r w:rsidRPr="00E1716E">
              <w:rPr>
                <w:lang w:eastAsia="en-AU"/>
              </w:rPr>
              <w:t>Number of Registrations</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7CF4FEB" w14:textId="77777777" w:rsidR="00E1716E" w:rsidRPr="00E1716E" w:rsidRDefault="00E1716E" w:rsidP="00E1716E">
            <w:pPr>
              <w:rPr>
                <w:lang w:eastAsia="en-AU"/>
              </w:rPr>
            </w:pPr>
            <w:r w:rsidRPr="00E1716E">
              <w:rPr>
                <w:lang w:eastAsia="en-AU"/>
              </w:rPr>
              <w:t>1,203</w:t>
            </w:r>
          </w:p>
        </w:tc>
        <w:tc>
          <w:tcPr>
            <w:tcW w:w="158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739C509" w14:textId="77777777" w:rsidR="00E1716E" w:rsidRPr="00E1716E" w:rsidRDefault="00E1716E" w:rsidP="00E1716E">
            <w:pPr>
              <w:rPr>
                <w:lang w:eastAsia="en-AU"/>
              </w:rPr>
            </w:pPr>
            <w:r w:rsidRPr="00E1716E">
              <w:rPr>
                <w:lang w:eastAsia="en-AU"/>
              </w:rPr>
              <w:t>433</w:t>
            </w:r>
          </w:p>
        </w:tc>
        <w:tc>
          <w:tcPr>
            <w:tcW w:w="1478"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E48BBDF" w14:textId="77777777" w:rsidR="00E1716E" w:rsidRPr="00E1716E" w:rsidRDefault="00E1716E" w:rsidP="00E1716E">
            <w:pPr>
              <w:rPr>
                <w:lang w:eastAsia="en-AU"/>
              </w:rPr>
            </w:pPr>
            <w:r w:rsidRPr="00E1716E">
              <w:rPr>
                <w:lang w:eastAsia="en-AU"/>
              </w:rPr>
              <w:t>50</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5C0613" w14:textId="77777777" w:rsidR="00E1716E" w:rsidRPr="00E1716E" w:rsidRDefault="00E1716E" w:rsidP="00E1716E">
            <w:pPr>
              <w:rPr>
                <w:lang w:eastAsia="en-AU"/>
              </w:rPr>
            </w:pPr>
            <w:r w:rsidRPr="00E1716E">
              <w:rPr>
                <w:lang w:eastAsia="en-AU"/>
              </w:rPr>
              <w:t>17</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061B2E3" w14:textId="77777777" w:rsidR="00E1716E" w:rsidRPr="00E1716E" w:rsidRDefault="00E1716E" w:rsidP="00E1716E">
            <w:pPr>
              <w:rPr>
                <w:lang w:eastAsia="en-AU"/>
              </w:rPr>
            </w:pPr>
            <w:r w:rsidRPr="00E1716E">
              <w:rPr>
                <w:lang w:eastAsia="en-AU"/>
              </w:rPr>
              <w:t>34</w:t>
            </w:r>
          </w:p>
        </w:tc>
      </w:tr>
      <w:tr w:rsidR="00E1716E" w:rsidRPr="00E1716E" w14:paraId="1DDEBC98"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722F7" w14:textId="77777777" w:rsidR="00E1716E" w:rsidRPr="00E1716E" w:rsidRDefault="00E1716E" w:rsidP="00E1716E">
            <w:pPr>
              <w:rPr>
                <w:lang w:eastAsia="en-AU"/>
              </w:rPr>
            </w:pPr>
            <w:r w:rsidRPr="00E1716E">
              <w:rPr>
                <w:lang w:eastAsia="en-AU"/>
              </w:rPr>
              <w:t>Expenditure (million)</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5534B" w14:textId="77777777" w:rsidR="00E1716E" w:rsidRPr="00E1716E" w:rsidRDefault="00E1716E" w:rsidP="00E1716E">
            <w:pPr>
              <w:rPr>
                <w:lang w:eastAsia="en-AU"/>
              </w:rPr>
            </w:pPr>
            <w:r w:rsidRPr="00E1716E">
              <w:rPr>
                <w:lang w:eastAsia="en-AU"/>
              </w:rPr>
              <w:t>$1,491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93DDB" w14:textId="77777777" w:rsidR="00E1716E" w:rsidRPr="00E1716E" w:rsidRDefault="00E1716E" w:rsidP="00E1716E">
            <w:pPr>
              <w:rPr>
                <w:lang w:eastAsia="en-AU"/>
              </w:rPr>
            </w:pPr>
            <w:r w:rsidRPr="00E1716E">
              <w:rPr>
                <w:lang w:eastAsia="en-AU"/>
              </w:rPr>
              <w:t>$679</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7040E" w14:textId="77777777" w:rsidR="00E1716E" w:rsidRPr="00E1716E" w:rsidRDefault="00E1716E" w:rsidP="00E1716E">
            <w:pPr>
              <w:rPr>
                <w:lang w:eastAsia="en-AU"/>
              </w:rPr>
            </w:pPr>
            <w:r w:rsidRPr="00E1716E">
              <w:rPr>
                <w:lang w:eastAsia="en-AU"/>
              </w:rPr>
              <w:t>$55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34C8C" w14:textId="77777777" w:rsidR="00E1716E" w:rsidRPr="00E1716E" w:rsidRDefault="00E1716E" w:rsidP="00E1716E">
            <w:pPr>
              <w:rPr>
                <w:lang w:eastAsia="en-AU"/>
              </w:rPr>
            </w:pPr>
            <w:r w:rsidRPr="00E1716E">
              <w:rPr>
                <w:lang w:eastAsia="en-AU"/>
              </w:rPr>
              <w:t>$156</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C914B" w14:textId="77777777" w:rsidR="00E1716E" w:rsidRPr="00E1716E" w:rsidRDefault="00E1716E" w:rsidP="00E1716E">
            <w:pPr>
              <w:rPr>
                <w:lang w:eastAsia="en-AU"/>
              </w:rPr>
            </w:pPr>
            <w:r w:rsidRPr="00E1716E">
              <w:rPr>
                <w:lang w:eastAsia="en-AU"/>
              </w:rPr>
              <w:t>$34</w:t>
            </w:r>
          </w:p>
        </w:tc>
      </w:tr>
    </w:tbl>
    <w:p w14:paraId="04F5DE9A" w14:textId="77777777" w:rsidR="00E1716E" w:rsidRPr="00E1716E" w:rsidRDefault="00E1716E" w:rsidP="00E1716E">
      <w:pPr>
        <w:keepNext/>
        <w:keepLines/>
        <w:spacing w:before="320" w:after="160"/>
        <w:outlineLvl w:val="2"/>
        <w:rPr>
          <w:rFonts w:asciiTheme="majorHAnsi" w:eastAsiaTheme="majorEastAsia" w:hAnsiTheme="majorHAnsi" w:cstheme="majorBidi"/>
          <w:color w:val="264F90" w:themeColor="accent2"/>
          <w:sz w:val="24"/>
          <w:szCs w:val="24"/>
        </w:rPr>
      </w:pPr>
      <w:r w:rsidRPr="00E1716E">
        <w:rPr>
          <w:rFonts w:asciiTheme="majorHAnsi" w:eastAsiaTheme="majorEastAsia" w:hAnsiTheme="majorHAnsi" w:cstheme="majorBidi"/>
          <w:color w:val="264F90" w:themeColor="accent2"/>
          <w:sz w:val="24"/>
          <w:szCs w:val="24"/>
        </w:rPr>
        <w:t>Comparison by sector – TAS (Top 5 Sectors, Incomplete 2020/21 income period)</w:t>
      </w:r>
    </w:p>
    <w:tbl>
      <w:tblPr>
        <w:tblW w:w="10065" w:type="dxa"/>
        <w:tblInd w:w="-5" w:type="dxa"/>
        <w:tblLayout w:type="fixed"/>
        <w:tblLook w:val="04A0" w:firstRow="1" w:lastRow="0" w:firstColumn="1" w:lastColumn="0" w:noHBand="0" w:noVBand="1"/>
      </w:tblPr>
      <w:tblGrid>
        <w:gridCol w:w="2420"/>
        <w:gridCol w:w="1529"/>
        <w:gridCol w:w="1580"/>
        <w:gridCol w:w="1478"/>
        <w:gridCol w:w="1529"/>
        <w:gridCol w:w="1529"/>
      </w:tblGrid>
      <w:tr w:rsidR="00E1716E" w:rsidRPr="00E1716E" w14:paraId="7DF2E279"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67696314" w14:textId="77777777" w:rsidR="00E1716E" w:rsidRPr="00E1716E" w:rsidRDefault="00E1716E" w:rsidP="00E1716E">
            <w:pPr>
              <w:rPr>
                <w:lang w:eastAsia="en-AU"/>
              </w:rPr>
            </w:pPr>
            <w:r w:rsidRPr="00E1716E">
              <w:rPr>
                <w:lang w:eastAsia="en-AU"/>
              </w:rPr>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510AEBC1" w14:textId="77777777" w:rsidR="00E1716E" w:rsidRPr="00E1716E" w:rsidRDefault="00E1716E" w:rsidP="00E1716E">
            <w:pPr>
              <w:rPr>
                <w:color w:val="FFFFFF" w:themeColor="background1"/>
                <w:lang w:eastAsia="en-AU"/>
              </w:rPr>
            </w:pPr>
            <w:r w:rsidRPr="00E1716E">
              <w:rPr>
                <w:color w:val="FFFFFF" w:themeColor="background1"/>
                <w:lang w:eastAsia="en-AU"/>
              </w:rPr>
              <w:t>Services</w:t>
            </w:r>
          </w:p>
        </w:tc>
        <w:tc>
          <w:tcPr>
            <w:tcW w:w="158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2B031DC3" w14:textId="77777777" w:rsidR="00E1716E" w:rsidRPr="00E1716E" w:rsidRDefault="00E1716E" w:rsidP="00E1716E">
            <w:pPr>
              <w:rPr>
                <w:color w:val="FFFFFF" w:themeColor="background1"/>
                <w:lang w:eastAsia="en-AU"/>
              </w:rPr>
            </w:pPr>
            <w:r w:rsidRPr="00E1716E">
              <w:rPr>
                <w:color w:val="FFFFFF" w:themeColor="background1"/>
                <w:lang w:eastAsia="en-AU"/>
              </w:rPr>
              <w:t>Manufacturing</w:t>
            </w:r>
          </w:p>
        </w:tc>
        <w:tc>
          <w:tcPr>
            <w:tcW w:w="1478"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19982BB" w14:textId="77777777" w:rsidR="00E1716E" w:rsidRPr="00E1716E" w:rsidRDefault="00E1716E" w:rsidP="00E1716E">
            <w:pPr>
              <w:rPr>
                <w:color w:val="FFFFFF" w:themeColor="background1"/>
                <w:lang w:eastAsia="en-AU"/>
              </w:rPr>
            </w:pPr>
            <w:r w:rsidRPr="00E1716E">
              <w:rPr>
                <w:color w:val="FFFFFF" w:themeColor="background1"/>
                <w:lang w:eastAsia="en-AU"/>
              </w:rPr>
              <w:t>Agriculture</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6938FEF2" w14:textId="77777777" w:rsidR="00E1716E" w:rsidRPr="00E1716E" w:rsidRDefault="00E1716E" w:rsidP="00E1716E">
            <w:pPr>
              <w:rPr>
                <w:color w:val="FFFFFF" w:themeColor="background1"/>
                <w:lang w:eastAsia="en-AU"/>
              </w:rPr>
            </w:pPr>
            <w:r w:rsidRPr="00E1716E">
              <w:rPr>
                <w:color w:val="FFFFFF" w:themeColor="background1"/>
                <w:lang w:eastAsia="en-AU"/>
              </w:rPr>
              <w:t>Mining</w:t>
            </w:r>
          </w:p>
        </w:tc>
        <w:tc>
          <w:tcPr>
            <w:tcW w:w="152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A9980E6" w14:textId="77777777" w:rsidR="00E1716E" w:rsidRPr="00E1716E" w:rsidRDefault="00E1716E" w:rsidP="00E1716E">
            <w:pPr>
              <w:rPr>
                <w:color w:val="FFFFFF" w:themeColor="background1"/>
                <w:lang w:eastAsia="en-AU"/>
              </w:rPr>
            </w:pPr>
            <w:r w:rsidRPr="00E1716E">
              <w:rPr>
                <w:color w:val="FFFFFF" w:themeColor="background1"/>
                <w:lang w:eastAsia="en-AU"/>
              </w:rPr>
              <w:t>E,G,W &amp; WS*</w:t>
            </w:r>
          </w:p>
        </w:tc>
      </w:tr>
      <w:tr w:rsidR="00E1716E" w:rsidRPr="00E1716E" w14:paraId="67BC0DF8"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9E743E0" w14:textId="77777777" w:rsidR="00E1716E" w:rsidRPr="00E1716E" w:rsidRDefault="00E1716E" w:rsidP="00E1716E">
            <w:pPr>
              <w:rPr>
                <w:lang w:eastAsia="en-AU"/>
              </w:rPr>
            </w:pPr>
            <w:r w:rsidRPr="00E1716E">
              <w:rPr>
                <w:lang w:eastAsia="en-AU"/>
              </w:rPr>
              <w:t>Number of Registrations</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823D565" w14:textId="77777777" w:rsidR="00E1716E" w:rsidRPr="00E1716E" w:rsidRDefault="00E1716E" w:rsidP="00E1716E">
            <w:pPr>
              <w:rPr>
                <w:lang w:eastAsia="en-AU"/>
              </w:rPr>
            </w:pPr>
            <w:r w:rsidRPr="00E1716E">
              <w:rPr>
                <w:lang w:eastAsia="en-AU"/>
              </w:rPr>
              <w:t>25</w:t>
            </w:r>
          </w:p>
        </w:tc>
        <w:tc>
          <w:tcPr>
            <w:tcW w:w="158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1BE688C" w14:textId="77777777" w:rsidR="00E1716E" w:rsidRPr="00E1716E" w:rsidRDefault="00E1716E" w:rsidP="00E1716E">
            <w:pPr>
              <w:rPr>
                <w:lang w:eastAsia="en-AU"/>
              </w:rPr>
            </w:pPr>
            <w:r w:rsidRPr="00E1716E">
              <w:rPr>
                <w:lang w:eastAsia="en-AU"/>
              </w:rPr>
              <w:t>19</w:t>
            </w:r>
          </w:p>
        </w:tc>
        <w:tc>
          <w:tcPr>
            <w:tcW w:w="1478"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0BD8911" w14:textId="77777777" w:rsidR="00E1716E" w:rsidRPr="00E1716E" w:rsidRDefault="00E1716E" w:rsidP="00E1716E">
            <w:pPr>
              <w:rPr>
                <w:lang w:eastAsia="en-AU"/>
              </w:rPr>
            </w:pPr>
            <w:r w:rsidRPr="00E1716E">
              <w:rPr>
                <w:lang w:eastAsia="en-AU"/>
              </w:rPr>
              <w:t>18</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2403295" w14:textId="77777777" w:rsidR="00E1716E" w:rsidRPr="00E1716E" w:rsidRDefault="00E1716E" w:rsidP="00E1716E">
            <w:pPr>
              <w:rPr>
                <w:lang w:eastAsia="en-AU"/>
              </w:rPr>
            </w:pPr>
            <w:r w:rsidRPr="00E1716E">
              <w:rPr>
                <w:lang w:eastAsia="en-AU"/>
              </w:rPr>
              <w:t>5</w:t>
            </w:r>
          </w:p>
        </w:tc>
        <w:tc>
          <w:tcPr>
            <w:tcW w:w="152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3E15D10" w14:textId="77777777" w:rsidR="00E1716E" w:rsidRPr="00E1716E" w:rsidRDefault="00E1716E" w:rsidP="00E1716E">
            <w:pPr>
              <w:rPr>
                <w:lang w:eastAsia="en-AU"/>
              </w:rPr>
            </w:pPr>
            <w:r w:rsidRPr="00E1716E">
              <w:rPr>
                <w:lang w:eastAsia="en-AU"/>
              </w:rPr>
              <w:t>&lt;5</w:t>
            </w:r>
          </w:p>
        </w:tc>
      </w:tr>
      <w:tr w:rsidR="00E1716E" w:rsidRPr="00E1716E" w14:paraId="46E161A5" w14:textId="77777777" w:rsidTr="00E171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0D729" w14:textId="77777777" w:rsidR="00E1716E" w:rsidRPr="00E1716E" w:rsidRDefault="00E1716E" w:rsidP="00E1716E">
            <w:pPr>
              <w:rPr>
                <w:lang w:eastAsia="en-AU"/>
              </w:rPr>
            </w:pPr>
            <w:r w:rsidRPr="00E1716E">
              <w:rPr>
                <w:lang w:eastAsia="en-AU"/>
              </w:rPr>
              <w:t>Expenditure (million)</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B013B" w14:textId="77777777" w:rsidR="00E1716E" w:rsidRPr="00E1716E" w:rsidRDefault="00E1716E" w:rsidP="00E1716E">
            <w:pPr>
              <w:rPr>
                <w:lang w:eastAsia="en-AU"/>
              </w:rPr>
            </w:pPr>
            <w:r w:rsidRPr="00E1716E">
              <w:rPr>
                <w:lang w:eastAsia="en-AU"/>
              </w:rPr>
              <w:t>$15</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B1D43" w14:textId="77777777" w:rsidR="00E1716E" w:rsidRPr="00E1716E" w:rsidRDefault="00E1716E" w:rsidP="00E1716E">
            <w:pPr>
              <w:rPr>
                <w:lang w:eastAsia="en-AU"/>
              </w:rPr>
            </w:pPr>
            <w:r w:rsidRPr="00E1716E">
              <w:rPr>
                <w:lang w:eastAsia="en-AU"/>
              </w:rPr>
              <w:t>$14</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E4B3C" w14:textId="77777777" w:rsidR="00E1716E" w:rsidRPr="00E1716E" w:rsidRDefault="00E1716E" w:rsidP="00E1716E">
            <w:pPr>
              <w:rPr>
                <w:lang w:eastAsia="en-AU"/>
              </w:rPr>
            </w:pPr>
            <w:r w:rsidRPr="00E1716E">
              <w:rPr>
                <w:lang w:eastAsia="en-AU"/>
              </w:rPr>
              <w:t>$73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929F7" w14:textId="77777777" w:rsidR="00E1716E" w:rsidRPr="00E1716E" w:rsidRDefault="00E1716E" w:rsidP="00E1716E">
            <w:pPr>
              <w:rPr>
                <w:lang w:eastAsia="en-AU"/>
              </w:rPr>
            </w:pPr>
            <w:r w:rsidRPr="00E1716E">
              <w:rPr>
                <w:lang w:eastAsia="en-AU"/>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BDB85" w14:textId="77777777" w:rsidR="00E1716E" w:rsidRPr="00E1716E" w:rsidRDefault="00E1716E" w:rsidP="00E1716E">
            <w:pPr>
              <w:rPr>
                <w:lang w:eastAsia="en-AU"/>
              </w:rPr>
            </w:pPr>
            <w:r w:rsidRPr="00E1716E">
              <w:rPr>
                <w:lang w:eastAsia="en-AU"/>
              </w:rPr>
              <w:t>&lt;$1</w:t>
            </w:r>
          </w:p>
        </w:tc>
      </w:tr>
    </w:tbl>
    <w:p w14:paraId="4F6BD919" w14:textId="77777777" w:rsidR="00E1716E" w:rsidRPr="00E1716E" w:rsidRDefault="00E1716E" w:rsidP="00E1716E"/>
    <w:p w14:paraId="77746BF8" w14:textId="77777777" w:rsidR="00E1716E" w:rsidRPr="00E1716E" w:rsidRDefault="00E1716E" w:rsidP="00E1716E">
      <w:r w:rsidRPr="00E1716E">
        <w:t>*Electricity, Gas, Water &amp; Waste Services</w:t>
      </w:r>
    </w:p>
    <w:p w14:paraId="01535605" w14:textId="6374815F" w:rsidR="00E1716E" w:rsidRPr="00E1716E" w:rsidRDefault="00E1716E" w:rsidP="007B766B">
      <w:pPr>
        <w:rPr>
          <w:iCs/>
        </w:rPr>
      </w:pPr>
      <w:r w:rsidRPr="00E1716E">
        <w:t>** Combined for confidentiality reasons.</w:t>
      </w:r>
    </w:p>
    <w:p w14:paraId="15F22549" w14:textId="77777777" w:rsidR="001017D9" w:rsidRPr="00260176" w:rsidRDefault="001017D9" w:rsidP="001017D9"/>
    <w:p w14:paraId="599FA553" w14:textId="6F8D77FA" w:rsidR="001017D9" w:rsidRPr="00037FA3" w:rsidRDefault="001017D9" w:rsidP="001017D9">
      <w:pPr>
        <w:rPr>
          <w:b/>
        </w:rPr>
      </w:pPr>
    </w:p>
    <w:sectPr w:rsidR="001017D9" w:rsidRPr="00037FA3" w:rsidSect="00534C17">
      <w:footerReference w:type="default" r:id="rId24"/>
      <w:headerReference w:type="first" r:id="rId25"/>
      <w:footerReference w:type="first" r:id="rId26"/>
      <w:pgSz w:w="11906" w:h="16838" w:code="9"/>
      <w:pgMar w:top="1440" w:right="1440" w:bottom="1440" w:left="1440"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35687" w14:textId="77777777" w:rsidR="00000F9A" w:rsidRDefault="00000F9A" w:rsidP="00D560DC">
      <w:pPr>
        <w:spacing w:before="0" w:after="0" w:line="240" w:lineRule="auto"/>
      </w:pPr>
      <w:r>
        <w:separator/>
      </w:r>
    </w:p>
  </w:endnote>
  <w:endnote w:type="continuationSeparator" w:id="0">
    <w:p w14:paraId="44C1841F" w14:textId="77777777" w:rsidR="00000F9A" w:rsidRDefault="00000F9A" w:rsidP="00D560DC">
      <w:pPr>
        <w:spacing w:before="0" w:after="0" w:line="240" w:lineRule="auto"/>
      </w:pPr>
      <w:r>
        <w:continuationSeparator/>
      </w:r>
    </w:p>
  </w:endnote>
  <w:endnote w:type="continuationNotice" w:id="1">
    <w:p w14:paraId="3350AA04" w14:textId="77777777" w:rsidR="00000F9A" w:rsidRDefault="00000F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7D0E7" w14:textId="77777777" w:rsidR="006261A7" w:rsidRDefault="00626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FA9D" w14:textId="77777777" w:rsidR="00000F9A" w:rsidRDefault="00000F9A" w:rsidP="0039793D">
    <w:pPr>
      <w:pStyle w:val="Footer"/>
    </w:pPr>
    <w:r>
      <w:rPr>
        <w:noProof/>
        <w:lang w:eastAsia="en-AU"/>
      </w:rPr>
      <mc:AlternateContent>
        <mc:Choice Requires="wps">
          <w:drawing>
            <wp:anchor distT="0" distB="0" distL="114300" distR="114300" simplePos="0" relativeHeight="251667456" behindDoc="0" locked="0" layoutInCell="1" allowOverlap="1" wp14:anchorId="0087BB5A" wp14:editId="722B277C">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xmlns:a14="http://schemas.microsoft.com/office/drawing/2010/main" xmlns:pic="http://schemas.openxmlformats.org/drawingml/2006/pictur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45304E10" w14:textId="77777777" w:rsidR="00000F9A" w:rsidRDefault="00000F9A" w:rsidP="0039793D">
                          <w:pPr>
                            <w:jc w:val="right"/>
                          </w:pPr>
                          <w:r>
                            <w:fldChar w:fldCharType="begin"/>
                          </w:r>
                          <w:r>
                            <w:instrText xml:space="preserve"> PAGE   \* MERGEFORMAT </w:instrText>
                          </w:r>
                          <w:r>
                            <w:fldChar w:fldCharType="separate"/>
                          </w:r>
                          <w:r w:rsidR="006261A7">
                            <w:rPr>
                              <w:noProof/>
                            </w:rPr>
                            <w:t>2</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7BB5A" id="_x0000_t202" coordsize="21600,21600" o:spt="202" path="m,l,21600r21600,l21600,xe">
              <v:stroke joinstyle="miter"/>
              <v:path gradientshapeok="t" o:connecttype="rect"/>
            </v:shapetype>
            <v:shape id="Text Box 21" o:spid="_x0000_s1026" type="#_x0000_t202" style="position:absolute;margin-left:33.85pt;margin-top:0;width:85.05pt;height:36.85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l5XgIAAKIEAAAOAAAAZHJzL2Uyb0RvYy54bWysVEuP2jAQvlfqf7B8hyTAZrMRYcWjVJVW&#10;uytBtWfjOBAp8bi2IaFV/3vHToBq21NVDmbseX7fzGT62NYVOQltSpAZjYYhJUJyyEu5z+jX7XqQ&#10;UGIskzmrQIqMnoWhj7OPH6aNSsUIDlDlQhMMIk3aqIwerFVpEBh+EDUzQ1BCorIAXTOLV70Pcs0a&#10;jF5XwSgM46ABnSsNXBiDr6tOSWc+flEIbl+KwghLqoxibdaf2p87dwazKUv3mqlDyfsy2D9UUbNS&#10;YtJrqBWzjBx1+UeouuQaDBR2yKEOoChKLjwGRBOF79BsDkwJjwXJMepKk/l/Yfnz6VWTMs/oKKJE&#10;shp7tBWtJQtoCT45THh9MraXOlQ/llEyXt2v48Fi8pAMJuPFePAwSRaD6H6ULO5G83n8afLTsRvc&#10;/INGmdQndO3x4kZhdttiMhweZ+7eDT66bG2ha/ePLBHUY/vO15a5ErlzCpMQf5Rw1E1id+mzXryV&#10;NvazgJo4IaMaR8KjYicE1RV4MXHJJKzLqvJjUUnSZDQe34Xe4apBSJVEZLdanWTbXdsD2EF+Rlwa&#10;unEziq9LTP7EjH1lGucL68WdsS94FBVgEuglSg6gv//t3dlj21FLSYPzmlHz7ci0oKT6InEg3HBf&#10;BO2FeOLZIDt/i3qe5LFeAi4Ddhvr8iK6altdxEJD/YZLNXf5UMUkx6wZ3V3Epe32B5eSi/ncG+Ew&#10;K2af5EZxF9oR6Ujdtm9Mq555iz17hstMs/RdAzrbrgXzo4Wi9N1x1HZ89ozjIvip6pfWbdrvd291&#10;+7TMfgEAAP//AwBQSwMEFAAGAAgAAAAhAIDuFFbbAAAABAEAAA8AAABkcnMvZG93bnJldi54bWxM&#10;j0FLw0AQhe9C/8MyBW92NxUaidmUUiqiF7Eqxds0O2ZDs7Mhu23jv3frRS8Phje8971yObpOnGgI&#10;rWcN2UyBIK69abnR8P72cHMHIkRkg51n0vBNAZbV5KrEwvgzv9JpGxuRQjgUqMHG2BdShtqSwzDz&#10;PXHyvvzgMKZzaKQZ8JzCXSfnSi2kw5ZTg8We1pbqw/boUu96N7cblT2bxYv9eFzlT9bsPrW+no6r&#10;exCRxvj3DBf8hA5VYtr7I5sgOg1pSPzVi5erDMReQ36bg6xK+R+++gEAAP//AwBQSwECLQAUAAYA&#10;CAAAACEAtoM4kv4AAADhAQAAEwAAAAAAAAAAAAAAAAAAAAAAW0NvbnRlbnRfVHlwZXNdLnhtbFBL&#10;AQItABQABgAIAAAAIQA4/SH/1gAAAJQBAAALAAAAAAAAAAAAAAAAAC8BAABfcmVscy8ucmVsc1BL&#10;AQItABQABgAIAAAAIQDGgul5XgIAAKIEAAAOAAAAAAAAAAAAAAAAAC4CAABkcnMvZTJvRG9jLnht&#10;bFBLAQItABQABgAIAAAAIQCA7hRW2wAAAAQBAAAPAAAAAAAAAAAAAAAAALgEAABkcnMvZG93bnJl&#10;di54bWxQSwUGAAAAAAQABADzAAAAwAUAAAAA&#10;" filled="f" stroked="f" strokeweight=".5pt">
              <v:textbox inset="0,0,18mm,5mm">
                <w:txbxContent>
                  <w:p w14:paraId="45304E10" w14:textId="77777777" w:rsidR="00000F9A" w:rsidRDefault="00000F9A" w:rsidP="0039793D">
                    <w:pPr>
                      <w:jc w:val="right"/>
                    </w:pPr>
                    <w:r>
                      <w:fldChar w:fldCharType="begin"/>
                    </w:r>
                    <w:r>
                      <w:instrText xml:space="preserve"> PAGE   \* MERGEFORMAT </w:instrText>
                    </w:r>
                    <w:r>
                      <w:fldChar w:fldCharType="separate"/>
                    </w:r>
                    <w:r w:rsidR="006261A7">
                      <w:rPr>
                        <w:noProof/>
                      </w:rPr>
                      <w:t>2</w:t>
                    </w:r>
                    <w:r>
                      <w:rPr>
                        <w:noProof/>
                      </w:rPr>
                      <w:fldChar w:fldCharType="end"/>
                    </w:r>
                  </w:p>
                </w:txbxContent>
              </v:textbox>
              <w10:wrap anchorx="page" anchory="page"/>
            </v:shape>
          </w:pict>
        </mc:Fallback>
      </mc:AlternateContent>
    </w:r>
    <w:r>
      <w:rPr>
        <w:noProof/>
        <w:lang w:eastAsia="en-AU"/>
      </w:rPr>
      <w:drawing>
        <wp:inline distT="0" distB="0" distL="0" distR="0" wp14:anchorId="7C96BE4D" wp14:editId="3E0F77E6">
          <wp:extent cx="6912000" cy="110015"/>
          <wp:effectExtent l="0" t="0" r="0" b="4445"/>
          <wp:docPr id="7" name="Picture 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412C2550" w14:textId="64162833" w:rsidR="00000F9A" w:rsidRPr="0039793D" w:rsidRDefault="00000F9A" w:rsidP="0039793D">
    <w:pPr>
      <w:pStyle w:val="Footer"/>
      <w:rPr>
        <w:color w:val="264F90" w:themeColor="accent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4BC7" w14:textId="26A0D06C" w:rsidR="00000F9A" w:rsidRDefault="00000F9A" w:rsidP="00D560DC">
    <w:pPr>
      <w:pStyle w:val="Footer"/>
    </w:pPr>
    <w:r>
      <w:rPr>
        <w:noProof/>
        <w:lang w:eastAsia="en-AU"/>
      </w:rPr>
      <w:drawing>
        <wp:inline distT="0" distB="0" distL="0" distR="0" wp14:anchorId="1600DF1D" wp14:editId="02687902">
          <wp:extent cx="6912000" cy="110015"/>
          <wp:effectExtent l="0" t="0" r="0" b="4445"/>
          <wp:docPr id="9" name="Picture 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5CE5F060" w14:textId="41111727" w:rsidR="00000F9A" w:rsidRPr="0039793D" w:rsidRDefault="00000F9A" w:rsidP="00D560DC">
    <w:pPr>
      <w:pStyle w:val="Footer"/>
      <w:rPr>
        <w:color w:val="264F90" w:themeColor="accent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BA1D" w14:textId="2848CAC5" w:rsidR="00000F9A" w:rsidRPr="0039793D" w:rsidRDefault="00000F9A" w:rsidP="00FD5EF3">
    <w:pPr>
      <w:pStyle w:val="Footer"/>
      <w:jc w:val="right"/>
      <w:rPr>
        <w:color w:val="264F90" w:themeColor="accent2"/>
      </w:rPr>
    </w:pPr>
    <w:r>
      <w:rPr>
        <w:noProof/>
        <w:lang w:eastAsia="en-AU"/>
      </w:rPr>
      <w:t>As at 15 March 2022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E6F6" w14:textId="335452EC" w:rsidR="00000F9A" w:rsidRDefault="00000F9A" w:rsidP="00D560DC">
    <w:pPr>
      <w:pStyle w:val="Footer"/>
    </w:pPr>
    <w:r>
      <w:rPr>
        <w:noProof/>
        <w:lang w:eastAsia="en-AU"/>
      </w:rPr>
      <w:tab/>
      <w:t>As at 15 March 2022</w:t>
    </w:r>
  </w:p>
  <w:p w14:paraId="5E2535C5" w14:textId="47B1F8DA" w:rsidR="00000F9A" w:rsidRPr="0039793D" w:rsidRDefault="00000F9A" w:rsidP="00D560DC">
    <w:pPr>
      <w:pStyle w:val="Footer"/>
      <w:rPr>
        <w:color w:val="264F90" w:themeColor="accen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C1BA" w14:textId="77777777" w:rsidR="00000F9A" w:rsidRDefault="00000F9A" w:rsidP="00D560DC">
      <w:pPr>
        <w:spacing w:before="0" w:after="0" w:line="240" w:lineRule="auto"/>
      </w:pPr>
      <w:r>
        <w:separator/>
      </w:r>
    </w:p>
  </w:footnote>
  <w:footnote w:type="continuationSeparator" w:id="0">
    <w:p w14:paraId="4883B592" w14:textId="77777777" w:rsidR="00000F9A" w:rsidRDefault="00000F9A" w:rsidP="00D560DC">
      <w:pPr>
        <w:spacing w:before="0" w:after="0" w:line="240" w:lineRule="auto"/>
      </w:pPr>
      <w:r>
        <w:continuationSeparator/>
      </w:r>
    </w:p>
  </w:footnote>
  <w:footnote w:type="continuationNotice" w:id="1">
    <w:p w14:paraId="25E75912" w14:textId="77777777" w:rsidR="00000F9A" w:rsidRDefault="00000F9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360F3" w14:textId="77777777" w:rsidR="006261A7" w:rsidRDefault="00626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086E2" w14:textId="77777777" w:rsidR="006261A7" w:rsidRDefault="00626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8546" w14:textId="6583F482" w:rsidR="00000F9A" w:rsidRPr="00D560DC" w:rsidRDefault="00000F9A" w:rsidP="000A1C04">
    <w:pPr>
      <w:pStyle w:val="Header"/>
    </w:pPr>
    <w:r>
      <w:rPr>
        <w:noProof/>
        <w:lang w:eastAsia="en-AU"/>
      </w:rPr>
      <w:drawing>
        <wp:anchor distT="0" distB="0" distL="114300" distR="114300" simplePos="0" relativeHeight="251671552" behindDoc="1" locked="0" layoutInCell="1" allowOverlap="1" wp14:anchorId="467E98D7" wp14:editId="02D9B30C">
          <wp:simplePos x="0" y="0"/>
          <wp:positionH relativeFrom="page">
            <wp:posOffset>4763882</wp:posOffset>
          </wp:positionH>
          <wp:positionV relativeFrom="paragraph">
            <wp:posOffset>-69239</wp:posOffset>
          </wp:positionV>
          <wp:extent cx="1515058" cy="424366"/>
          <wp:effectExtent l="0" t="0" r="0" b="0"/>
          <wp:wrapNone/>
          <wp:docPr id="1" name="Picture 1" descr="ato-logo-sq - Strategic Trans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logo-sq - Strategic Transactions"/>
                  <pic:cNvPicPr>
                    <a:picLocks noChangeAspect="1" noChangeArrowheads="1"/>
                  </pic:cNvPicPr>
                </pic:nvPicPr>
                <pic:blipFill rotWithShape="1">
                  <a:blip r:embed="rId1">
                    <a:extLst>
                      <a:ext uri="{28A0092B-C50C-407E-A947-70E740481C1C}">
                        <a14:useLocalDpi xmlns:a14="http://schemas.microsoft.com/office/drawing/2010/main" val="0"/>
                      </a:ext>
                    </a:extLst>
                  </a:blip>
                  <a:srcRect l="12382" t="33552" r="10600" b="26726"/>
                  <a:stretch/>
                </pic:blipFill>
                <pic:spPr bwMode="auto">
                  <a:xfrm>
                    <a:off x="0" y="0"/>
                    <a:ext cx="1515058" cy="4243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9504" behindDoc="1" locked="0" layoutInCell="1" allowOverlap="1" wp14:anchorId="695DC8FC" wp14:editId="12480AAD">
          <wp:simplePos x="0" y="0"/>
          <wp:positionH relativeFrom="margin">
            <wp:posOffset>103567</wp:posOffset>
          </wp:positionH>
          <wp:positionV relativeFrom="paragraph">
            <wp:posOffset>-111760</wp:posOffset>
          </wp:positionV>
          <wp:extent cx="2832735" cy="43180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Gov_DISER_BE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32735" cy="431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3360" behindDoc="0" locked="0" layoutInCell="1" allowOverlap="1" wp14:anchorId="67E61CD2" wp14:editId="2CEB5E21">
              <wp:simplePos x="0" y="0"/>
              <wp:positionH relativeFrom="margin">
                <wp:align>right</wp:align>
              </wp:positionH>
              <wp:positionV relativeFrom="page">
                <wp:posOffset>955253</wp:posOffset>
              </wp:positionV>
              <wp:extent cx="6845400" cy="0"/>
              <wp:effectExtent l="0" t="0" r="21590" b="19050"/>
              <wp:wrapNone/>
              <wp:docPr id="18" name="Straight Connector 18">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xmlns:a14="http://schemas.microsoft.com/office/drawing/2010/main" xmlns:pic="http://schemas.openxmlformats.org/drawingml/2006/picture"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424F2E99" id="Straight Connector 18" o:spid="_x0000_s1026" style="position:absolute;z-index:251663360;visibility:visible;mso-wrap-style:square;mso-width-percent:1000;mso-wrap-distance-left:9pt;mso-wrap-distance-top:0;mso-wrap-distance-right:9pt;mso-wrap-distance-bottom:0;mso-position-horizontal:right;mso-position-horizontal-relative:margin;mso-position-vertical:absolute;mso-position-vertical-relative:page;mso-width-percent:1000;mso-width-relative:margin" from="487.8pt,75.2pt" to="1026.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EcDgIAAGgEAAAOAAAAZHJzL2Uyb0RvYy54bWysVNuO0zAQfUfiH6y8t2nSbJuNmq62LeUF&#10;QcXCB3gdu7Hkm2zTtEL8O2MnTVewQgLx4vgyZ+acM3ZWD2cp0Ilax7Wqk2w6SxBVRDdcHevk65f9&#10;pEyQ81g1WGhF6+RCXfKwfvtm1ZmK5rrVoqEWQRLlqs7USeu9qdLUkZZK7KbaUAWHTFuJPSztMW0s&#10;7iC7FGk+my3STtvGWE2oc7C76w+TdczPGCX+E2OOeiTqBLj5ONo4PocxXa9wdbTYtJwMNPA/sJCY&#10;Kyg6ptphj9E3y39LJTmx2mnmp0TLVDPGCY0aQE02+0XNU4sNjVrAHGdGm9z/S0s+ng4W8QZ6B51S&#10;WEKPnrzF/Nh6tNVKgYPaIjgM6ujZf3B+mPX6vm+zcr5b7heTTXFfTor5Zj65L8rNJFvm5eYuf3xc&#10;vCt+BJ/TGz7tjKti6dCoON2qg4WgsHLmYEONM7MyfMEldI4tu4wtAyaIwOaiLO6KGXSWXM+gzBVo&#10;rPPvqZYoTOpEcBXcxBU+gYqe0TUkbAuFOvAhX0K+sHZa8GbPhYiLcCPpVlh0wnCXMCFU+XzQ9SIS&#10;ygsFYm9C4sxfBO1rfKYM/AbqWV/ktbzZkFcoiA4wBixG4MDuT8AhPkBpfAV/Ax4RsbJWfgRLrrR9&#10;jbY/XymzPv7qQK87WPCsm0tscbQGrnO8EcPTC+/l5TrCbz+I9U8AAAD//wMAUEsDBBQABgAIAAAA&#10;IQALOoTy3AAAAAkBAAAPAAAAZHJzL2Rvd25yZXYueG1sTI/NTsMwEITvSLyDtUjcqANqoQpxqgqJ&#10;C5xaflRum3hJUux1FLttytOzlZDguN+MZmeKxeid2tMQu8AGricZKOI62I4bA68vj1dzUDEhW3SB&#10;ycCRIizK87MCcxsOvKL9OjVKQjjmaKBNqc+1jnVLHuMk9MSifYbBY5JzaLQd8CDh3umbLLvVHjuW&#10;Dy329NBS/bXeeQObt3f//O0qr7cfm+l2OXs6rio05vJiXN6DSjSmPzOc6kt1KKVTFXZso3IGZEgS&#10;OsumoE5ydjcXVP0iXRb6/4LyBwAA//8DAFBLAQItABQABgAIAAAAIQC2gziS/gAAAOEBAAATAAAA&#10;AAAAAAAAAAAAAAAAAABbQ29udGVudF9UeXBlc10ueG1sUEsBAi0AFAAGAAgAAAAhADj9If/WAAAA&#10;lAEAAAsAAAAAAAAAAAAAAAAALwEAAF9yZWxzLy5yZWxzUEsBAi0AFAAGAAgAAAAhAHSi8RwOAgAA&#10;aAQAAA4AAAAAAAAAAAAAAAAALgIAAGRycy9lMm9Eb2MueG1sUEsBAi0AFAAGAAgAAAAhAAs6hPLc&#10;AAAACQEAAA8AAAAAAAAAAAAAAAAAaAQAAGRycy9kb3ducmV2LnhtbFBLBQYAAAAABAAEAPMAAABx&#10;BQAAAAA=&#10;" strokecolor="#264f90 [3205]" strokeweight="1pt">
              <v:stroke joinstyle="miter"/>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657A5" w14:textId="1CCFEDFF" w:rsidR="00000F9A" w:rsidRPr="00FD5EF3" w:rsidRDefault="00000F9A" w:rsidP="00FD5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09E"/>
    <w:multiLevelType w:val="multilevel"/>
    <w:tmpl w:val="8ABAA434"/>
    <w:lvl w:ilvl="0">
      <w:start w:val="1"/>
      <w:numFmt w:val="decimal"/>
      <w:lvlText w:val="%1."/>
      <w:lvlJc w:val="left"/>
      <w:pPr>
        <w:ind w:left="360" w:hanging="360"/>
      </w:pPr>
      <w:rPr>
        <w:rFonts w:hint="default"/>
        <w:b/>
        <w:color w:val="212A4C" w:themeColor="text2"/>
        <w:sz w:val="28"/>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7A48D4"/>
    <w:multiLevelType w:val="multilevel"/>
    <w:tmpl w:val="59AA5282"/>
    <w:numStyleLink w:val="BulletListStyle"/>
  </w:abstractNum>
  <w:abstractNum w:abstractNumId="2" w15:restartNumberingAfterBreak="0">
    <w:nsid w:val="0F625CC4"/>
    <w:multiLevelType w:val="hybridMultilevel"/>
    <w:tmpl w:val="38F201A4"/>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4" w15:restartNumberingAfterBreak="0">
    <w:nsid w:val="1146550D"/>
    <w:multiLevelType w:val="hybridMultilevel"/>
    <w:tmpl w:val="2E3E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C26E2"/>
    <w:multiLevelType w:val="hybridMultilevel"/>
    <w:tmpl w:val="CC1A7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BD5FEB"/>
    <w:multiLevelType w:val="hybridMultilevel"/>
    <w:tmpl w:val="11126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E3F02"/>
    <w:multiLevelType w:val="hybridMultilevel"/>
    <w:tmpl w:val="D34CA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7232A"/>
    <w:multiLevelType w:val="hybridMultilevel"/>
    <w:tmpl w:val="66BA53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6204B3"/>
    <w:multiLevelType w:val="hybridMultilevel"/>
    <w:tmpl w:val="EEF49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597D72"/>
    <w:multiLevelType w:val="hybridMultilevel"/>
    <w:tmpl w:val="9E464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184796"/>
    <w:multiLevelType w:val="hybridMultilevel"/>
    <w:tmpl w:val="F67C9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E57DFB"/>
    <w:multiLevelType w:val="hybridMultilevel"/>
    <w:tmpl w:val="A5FC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4" w15:restartNumberingAfterBreak="0">
    <w:nsid w:val="2ECD2547"/>
    <w:multiLevelType w:val="hybridMultilevel"/>
    <w:tmpl w:val="9802F63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5D84E93"/>
    <w:multiLevelType w:val="hybridMultilevel"/>
    <w:tmpl w:val="2AFC7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FE2F1C"/>
    <w:multiLevelType w:val="hybridMultilevel"/>
    <w:tmpl w:val="184C8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84667"/>
    <w:multiLevelType w:val="hybridMultilevel"/>
    <w:tmpl w:val="E9341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B30825"/>
    <w:multiLevelType w:val="multilevel"/>
    <w:tmpl w:val="4FFE4DDC"/>
    <w:lvl w:ilvl="0">
      <w:start w:val="1"/>
      <w:numFmt w:val="decimal"/>
      <w:lvlText w:val="%1."/>
      <w:lvlJc w:val="left"/>
      <w:pPr>
        <w:ind w:left="360" w:hanging="360"/>
      </w:pPr>
      <w:rPr>
        <w:rFonts w:hint="default"/>
        <w:b/>
        <w:color w:val="auto"/>
        <w:sz w:val="22"/>
        <w:szCs w:val="20"/>
      </w:rPr>
    </w:lvl>
    <w:lvl w:ilvl="1">
      <w:start w:val="1"/>
      <w:numFmt w:val="decimal"/>
      <w:lvlText w:val="%1.%2."/>
      <w:lvlJc w:val="left"/>
      <w:pPr>
        <w:ind w:left="510" w:hanging="170"/>
      </w:pPr>
      <w:rPr>
        <w:rFonts w:ascii="Calibri Bold" w:hAnsi="Calibri Bold" w:cs="Arial" w:hint="default"/>
        <w:b/>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3D5F0B"/>
    <w:multiLevelType w:val="hybridMultilevel"/>
    <w:tmpl w:val="E8C80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8967A0"/>
    <w:multiLevelType w:val="hybridMultilevel"/>
    <w:tmpl w:val="8A1CE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E73078"/>
    <w:multiLevelType w:val="hybridMultilevel"/>
    <w:tmpl w:val="6908A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B619E"/>
    <w:multiLevelType w:val="hybridMultilevel"/>
    <w:tmpl w:val="5EB236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1264C10"/>
    <w:multiLevelType w:val="hybridMultilevel"/>
    <w:tmpl w:val="13BA3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63586E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EE0411"/>
    <w:multiLevelType w:val="hybridMultilevel"/>
    <w:tmpl w:val="4C20E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560CB7"/>
    <w:multiLevelType w:val="hybridMultilevel"/>
    <w:tmpl w:val="9BA0B8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79A1328">
      <w:numFmt w:val="bullet"/>
      <w:lvlText w:val="·"/>
      <w:lvlJc w:val="left"/>
      <w:pPr>
        <w:ind w:left="2160" w:hanging="360"/>
      </w:pPr>
      <w:rPr>
        <w:rFonts w:ascii="Calibri" w:eastAsiaTheme="majorEastAsia" w:hAnsi="Calibri" w:cs="Calibri" w:hint="default"/>
        <w:color w:val="264F90" w:themeColor="accent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683130"/>
    <w:multiLevelType w:val="hybridMultilevel"/>
    <w:tmpl w:val="0302DC5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BE4F42"/>
    <w:multiLevelType w:val="hybridMultilevel"/>
    <w:tmpl w:val="CC0A24B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79A1328">
      <w:numFmt w:val="bullet"/>
      <w:lvlText w:val="·"/>
      <w:lvlJc w:val="left"/>
      <w:pPr>
        <w:ind w:left="2160" w:hanging="360"/>
      </w:pPr>
      <w:rPr>
        <w:rFonts w:ascii="Calibri" w:eastAsiaTheme="majorEastAsia" w:hAnsi="Calibri" w:cs="Calibri" w:hint="default"/>
        <w:color w:val="264F90" w:themeColor="accent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0A52DE"/>
    <w:multiLevelType w:val="hybridMultilevel"/>
    <w:tmpl w:val="9DA07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DA28C6"/>
    <w:multiLevelType w:val="hybridMultilevel"/>
    <w:tmpl w:val="E7BE1EF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E8B691D"/>
    <w:multiLevelType w:val="multilevel"/>
    <w:tmpl w:val="59AA5282"/>
    <w:styleLink w:val="BulletListStyle"/>
    <w:lvl w:ilvl="0">
      <w:start w:val="1"/>
      <w:numFmt w:val="bullet"/>
      <w:lvlText w:val=""/>
      <w:lvlJc w:val="left"/>
      <w:pPr>
        <w:ind w:left="284" w:hanging="284"/>
      </w:pPr>
      <w:rPr>
        <w:rFonts w:ascii="Symbol" w:hAnsi="Symbo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2"/>
  </w:num>
  <w:num w:numId="2">
    <w:abstractNumId w:val="24"/>
  </w:num>
  <w:num w:numId="3">
    <w:abstractNumId w:val="3"/>
  </w:num>
  <w:num w:numId="4">
    <w:abstractNumId w:val="13"/>
  </w:num>
  <w:num w:numId="5">
    <w:abstractNumId w:val="0"/>
  </w:num>
  <w:num w:numId="6">
    <w:abstractNumId w:val="18"/>
  </w:num>
  <w:num w:numId="7">
    <w:abstractNumId w:val="6"/>
  </w:num>
  <w:num w:numId="8">
    <w:abstractNumId w:val="27"/>
  </w:num>
  <w:num w:numId="9">
    <w:abstractNumId w:val="5"/>
  </w:num>
  <w:num w:numId="10">
    <w:abstractNumId w:val="9"/>
  </w:num>
  <w:num w:numId="11">
    <w:abstractNumId w:val="28"/>
  </w:num>
  <w:num w:numId="12">
    <w:abstractNumId w:val="23"/>
  </w:num>
  <w:num w:numId="13">
    <w:abstractNumId w:val="17"/>
  </w:num>
  <w:num w:numId="14">
    <w:abstractNumId w:val="15"/>
  </w:num>
  <w:num w:numId="15">
    <w:abstractNumId w:val="16"/>
  </w:num>
  <w:num w:numId="16">
    <w:abstractNumId w:val="1"/>
  </w:num>
  <w:num w:numId="17">
    <w:abstractNumId w:val="8"/>
  </w:num>
  <w:num w:numId="18">
    <w:abstractNumId w:val="14"/>
  </w:num>
  <w:num w:numId="19">
    <w:abstractNumId w:val="2"/>
  </w:num>
  <w:num w:numId="20">
    <w:abstractNumId w:val="22"/>
  </w:num>
  <w:num w:numId="21">
    <w:abstractNumId w:val="21"/>
  </w:num>
  <w:num w:numId="22">
    <w:abstractNumId w:val="31"/>
  </w:num>
  <w:num w:numId="23">
    <w:abstractNumId w:val="29"/>
  </w:num>
  <w:num w:numId="24">
    <w:abstractNumId w:val="12"/>
  </w:num>
  <w:num w:numId="25">
    <w:abstractNumId w:val="26"/>
  </w:num>
  <w:num w:numId="26">
    <w:abstractNumId w:val="25"/>
  </w:num>
  <w:num w:numId="27">
    <w:abstractNumId w:val="19"/>
  </w:num>
  <w:num w:numId="28">
    <w:abstractNumId w:val="20"/>
  </w:num>
  <w:num w:numId="29">
    <w:abstractNumId w:val="10"/>
  </w:num>
  <w:num w:numId="30">
    <w:abstractNumId w:val="30"/>
  </w:num>
  <w:num w:numId="31">
    <w:abstractNumId w:val="11"/>
  </w:num>
  <w:num w:numId="32">
    <w:abstractNumId w:val="7"/>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62"/>
    <w:rsid w:val="00000F9A"/>
    <w:rsid w:val="00001A64"/>
    <w:rsid w:val="00017597"/>
    <w:rsid w:val="000200EB"/>
    <w:rsid w:val="00027E66"/>
    <w:rsid w:val="0003434C"/>
    <w:rsid w:val="00037FA3"/>
    <w:rsid w:val="0004484A"/>
    <w:rsid w:val="000455F2"/>
    <w:rsid w:val="000474ED"/>
    <w:rsid w:val="00054078"/>
    <w:rsid w:val="000545C6"/>
    <w:rsid w:val="00061D6A"/>
    <w:rsid w:val="00075891"/>
    <w:rsid w:val="00077F9D"/>
    <w:rsid w:val="000A1C04"/>
    <w:rsid w:val="000B2DA0"/>
    <w:rsid w:val="000B41D3"/>
    <w:rsid w:val="000F4F2F"/>
    <w:rsid w:val="001017D9"/>
    <w:rsid w:val="0010482C"/>
    <w:rsid w:val="00110A6E"/>
    <w:rsid w:val="00123DAE"/>
    <w:rsid w:val="00130CF4"/>
    <w:rsid w:val="00163226"/>
    <w:rsid w:val="00177D26"/>
    <w:rsid w:val="001B0967"/>
    <w:rsid w:val="001B5EBB"/>
    <w:rsid w:val="001C10C5"/>
    <w:rsid w:val="001D5B62"/>
    <w:rsid w:val="0023421B"/>
    <w:rsid w:val="002355AD"/>
    <w:rsid w:val="00253CF0"/>
    <w:rsid w:val="002A2407"/>
    <w:rsid w:val="002A294C"/>
    <w:rsid w:val="002A77A4"/>
    <w:rsid w:val="002B5E7A"/>
    <w:rsid w:val="002F0A73"/>
    <w:rsid w:val="00321BC9"/>
    <w:rsid w:val="00352DE9"/>
    <w:rsid w:val="00353EE2"/>
    <w:rsid w:val="0038113F"/>
    <w:rsid w:val="003821E0"/>
    <w:rsid w:val="00390FA0"/>
    <w:rsid w:val="003932FC"/>
    <w:rsid w:val="00396512"/>
    <w:rsid w:val="0039793D"/>
    <w:rsid w:val="003A01BD"/>
    <w:rsid w:val="003C1750"/>
    <w:rsid w:val="003D68FC"/>
    <w:rsid w:val="00406956"/>
    <w:rsid w:val="0041233C"/>
    <w:rsid w:val="00432A99"/>
    <w:rsid w:val="00434F89"/>
    <w:rsid w:val="0046775E"/>
    <w:rsid w:val="004742ED"/>
    <w:rsid w:val="00476733"/>
    <w:rsid w:val="00480CF0"/>
    <w:rsid w:val="00484F77"/>
    <w:rsid w:val="004B3D3F"/>
    <w:rsid w:val="00500289"/>
    <w:rsid w:val="0051393D"/>
    <w:rsid w:val="00527D37"/>
    <w:rsid w:val="00534C17"/>
    <w:rsid w:val="00535C06"/>
    <w:rsid w:val="005A76F1"/>
    <w:rsid w:val="0061291F"/>
    <w:rsid w:val="006261A7"/>
    <w:rsid w:val="00631E68"/>
    <w:rsid w:val="00647D19"/>
    <w:rsid w:val="006B1D29"/>
    <w:rsid w:val="006B46A8"/>
    <w:rsid w:val="006F5A71"/>
    <w:rsid w:val="007661CA"/>
    <w:rsid w:val="00783369"/>
    <w:rsid w:val="0079241E"/>
    <w:rsid w:val="007B766B"/>
    <w:rsid w:val="007C138E"/>
    <w:rsid w:val="007E3A22"/>
    <w:rsid w:val="0080053F"/>
    <w:rsid w:val="00804003"/>
    <w:rsid w:val="008137A2"/>
    <w:rsid w:val="008144EA"/>
    <w:rsid w:val="00827477"/>
    <w:rsid w:val="008346FF"/>
    <w:rsid w:val="00845C5A"/>
    <w:rsid w:val="00853B77"/>
    <w:rsid w:val="00872B9B"/>
    <w:rsid w:val="008742DD"/>
    <w:rsid w:val="00885575"/>
    <w:rsid w:val="008940CD"/>
    <w:rsid w:val="008A340B"/>
    <w:rsid w:val="008C3A8F"/>
    <w:rsid w:val="008D50E2"/>
    <w:rsid w:val="00901119"/>
    <w:rsid w:val="00901E6B"/>
    <w:rsid w:val="0091107E"/>
    <w:rsid w:val="0091510F"/>
    <w:rsid w:val="009226A5"/>
    <w:rsid w:val="00965F6D"/>
    <w:rsid w:val="00971C2C"/>
    <w:rsid w:val="0098271F"/>
    <w:rsid w:val="00995BCB"/>
    <w:rsid w:val="009B02F7"/>
    <w:rsid w:val="009B68AA"/>
    <w:rsid w:val="00A71DAB"/>
    <w:rsid w:val="00A91F9F"/>
    <w:rsid w:val="00A92564"/>
    <w:rsid w:val="00AB76A4"/>
    <w:rsid w:val="00AB78BB"/>
    <w:rsid w:val="00AF3AD5"/>
    <w:rsid w:val="00AF49F3"/>
    <w:rsid w:val="00AF71F9"/>
    <w:rsid w:val="00B5470D"/>
    <w:rsid w:val="00B612DA"/>
    <w:rsid w:val="00B729E2"/>
    <w:rsid w:val="00BA4643"/>
    <w:rsid w:val="00BC2448"/>
    <w:rsid w:val="00BE7667"/>
    <w:rsid w:val="00BF5EA2"/>
    <w:rsid w:val="00C05DB9"/>
    <w:rsid w:val="00C2660C"/>
    <w:rsid w:val="00C453DA"/>
    <w:rsid w:val="00C82A34"/>
    <w:rsid w:val="00CA05C5"/>
    <w:rsid w:val="00CB5B1C"/>
    <w:rsid w:val="00CD6E77"/>
    <w:rsid w:val="00CE5E0B"/>
    <w:rsid w:val="00CF40FC"/>
    <w:rsid w:val="00D06FDA"/>
    <w:rsid w:val="00D43D9C"/>
    <w:rsid w:val="00D548FC"/>
    <w:rsid w:val="00D560DC"/>
    <w:rsid w:val="00D62F62"/>
    <w:rsid w:val="00D7371A"/>
    <w:rsid w:val="00D772DA"/>
    <w:rsid w:val="00D81344"/>
    <w:rsid w:val="00D864E7"/>
    <w:rsid w:val="00DA7680"/>
    <w:rsid w:val="00DB5904"/>
    <w:rsid w:val="00DB786A"/>
    <w:rsid w:val="00DF2D1D"/>
    <w:rsid w:val="00DF7AB4"/>
    <w:rsid w:val="00E1716E"/>
    <w:rsid w:val="00E47880"/>
    <w:rsid w:val="00E47EE2"/>
    <w:rsid w:val="00E52775"/>
    <w:rsid w:val="00E824E0"/>
    <w:rsid w:val="00E85681"/>
    <w:rsid w:val="00E87E90"/>
    <w:rsid w:val="00EA661D"/>
    <w:rsid w:val="00EB248E"/>
    <w:rsid w:val="00EC3DAC"/>
    <w:rsid w:val="00F245B1"/>
    <w:rsid w:val="00F24C7A"/>
    <w:rsid w:val="00F30979"/>
    <w:rsid w:val="00F31368"/>
    <w:rsid w:val="00F44B77"/>
    <w:rsid w:val="00F44DBB"/>
    <w:rsid w:val="00F52C02"/>
    <w:rsid w:val="00F57682"/>
    <w:rsid w:val="00F64FDB"/>
    <w:rsid w:val="00F73C04"/>
    <w:rsid w:val="00F77596"/>
    <w:rsid w:val="00FA3109"/>
    <w:rsid w:val="00FC150C"/>
    <w:rsid w:val="00FD17C4"/>
    <w:rsid w:val="00FD4E53"/>
    <w:rsid w:val="00FD5EF3"/>
    <w:rsid w:val="00FF2DC4"/>
    <w:rsid w:val="15A77D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8D6FE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77"/>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F64FDB"/>
    <w:pPr>
      <w:outlineLvl w:val="3"/>
    </w:pPr>
    <w:rPr>
      <w:b/>
      <w:iCs/>
      <w:color w:val="212A4C" w:themeColor="text2"/>
      <w:sz w:val="20"/>
    </w:rPr>
  </w:style>
  <w:style w:type="paragraph" w:styleId="Heading5">
    <w:name w:val="heading 5"/>
    <w:basedOn w:val="Heading4"/>
    <w:next w:val="Normal"/>
    <w:link w:val="Heading5Char"/>
    <w:uiPriority w:val="4"/>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spacing w:before="80"/>
    </w:pPr>
  </w:style>
  <w:style w:type="paragraph" w:customStyle="1" w:styleId="Bullet2">
    <w:name w:val="Bullet 2"/>
    <w:basedOn w:val="Bullet1"/>
    <w:uiPriority w:val="2"/>
    <w:qFormat/>
    <w:rsid w:val="00F64FDB"/>
    <w:pPr>
      <w:numPr>
        <w:ilvl w:val="1"/>
        <w:numId w:val="16"/>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2"/>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F24C7A"/>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2"/>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3"/>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4"/>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paragraph" w:styleId="ListParagraph">
    <w:name w:val="List Paragraph"/>
    <w:aliases w:val="Bullet point,L,List Paragraph - bullets,List Paragraph1,List Paragraph11,NFP GP Bulleted List,Recommendation,bullet point list,AR bullet 1,Bullet Point,Bullet Points,Bullet points,Bulletr List Paragraph,CV text,Content descriptions,Dot pt"/>
    <w:basedOn w:val="Normal"/>
    <w:link w:val="ListParagraphChar"/>
    <w:uiPriority w:val="34"/>
    <w:qFormat/>
    <w:rsid w:val="000F4F2F"/>
    <w:pPr>
      <w:ind w:left="720"/>
      <w:contextualSpacing/>
    </w:pPr>
  </w:style>
  <w:style w:type="character" w:customStyle="1" w:styleId="ListParagraphChar">
    <w:name w:val="List Paragraph Char"/>
    <w:aliases w:val="Bullet point Char,L Char,List Paragraph - bullets Char,List Paragraph1 Char,List Paragraph11 Char,NFP GP Bulleted List Char,Recommendation Char,bullet point list Char,AR bullet 1 Char,Bullet Point Char,Bullet Points Char,CV text Char"/>
    <w:basedOn w:val="DefaultParagraphFont"/>
    <w:link w:val="ListParagraph"/>
    <w:uiPriority w:val="34"/>
    <w:qFormat/>
    <w:locked/>
    <w:rsid w:val="009B68AA"/>
  </w:style>
  <w:style w:type="character" w:customStyle="1" w:styleId="normaltextrun1">
    <w:name w:val="normaltextrun1"/>
    <w:basedOn w:val="DefaultParagraphFont"/>
    <w:rsid w:val="009B68AA"/>
  </w:style>
  <w:style w:type="character" w:styleId="CommentReference">
    <w:name w:val="annotation reference"/>
    <w:basedOn w:val="DefaultParagraphFont"/>
    <w:uiPriority w:val="99"/>
    <w:semiHidden/>
    <w:unhideWhenUsed/>
    <w:rsid w:val="00C453DA"/>
    <w:rPr>
      <w:sz w:val="16"/>
      <w:szCs w:val="16"/>
    </w:rPr>
  </w:style>
  <w:style w:type="paragraph" w:styleId="CommentText">
    <w:name w:val="annotation text"/>
    <w:basedOn w:val="Normal"/>
    <w:link w:val="CommentTextChar"/>
    <w:uiPriority w:val="99"/>
    <w:semiHidden/>
    <w:unhideWhenUsed/>
    <w:rsid w:val="00C453DA"/>
    <w:pPr>
      <w:spacing w:line="240" w:lineRule="auto"/>
    </w:pPr>
  </w:style>
  <w:style w:type="character" w:customStyle="1" w:styleId="CommentTextChar">
    <w:name w:val="Comment Text Char"/>
    <w:basedOn w:val="DefaultParagraphFont"/>
    <w:link w:val="CommentText"/>
    <w:uiPriority w:val="99"/>
    <w:semiHidden/>
    <w:rsid w:val="00C453DA"/>
  </w:style>
  <w:style w:type="paragraph" w:styleId="CommentSubject">
    <w:name w:val="annotation subject"/>
    <w:basedOn w:val="CommentText"/>
    <w:next w:val="CommentText"/>
    <w:link w:val="CommentSubjectChar"/>
    <w:uiPriority w:val="99"/>
    <w:semiHidden/>
    <w:unhideWhenUsed/>
    <w:rsid w:val="00C453DA"/>
    <w:rPr>
      <w:b/>
      <w:bCs/>
    </w:rPr>
  </w:style>
  <w:style w:type="character" w:customStyle="1" w:styleId="CommentSubjectChar">
    <w:name w:val="Comment Subject Char"/>
    <w:basedOn w:val="CommentTextChar"/>
    <w:link w:val="CommentSubject"/>
    <w:uiPriority w:val="99"/>
    <w:semiHidden/>
    <w:rsid w:val="00C453DA"/>
    <w:rPr>
      <w:b/>
      <w:bCs/>
    </w:rPr>
  </w:style>
  <w:style w:type="paragraph" w:styleId="BalloonText">
    <w:name w:val="Balloon Text"/>
    <w:basedOn w:val="Normal"/>
    <w:link w:val="BalloonTextChar"/>
    <w:uiPriority w:val="99"/>
    <w:semiHidden/>
    <w:unhideWhenUsed/>
    <w:rsid w:val="00C453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3DA"/>
    <w:rPr>
      <w:rFonts w:ascii="Segoe UI" w:hAnsi="Segoe UI" w:cs="Segoe UI"/>
      <w:sz w:val="18"/>
      <w:szCs w:val="18"/>
    </w:rPr>
  </w:style>
  <w:style w:type="paragraph" w:styleId="Revision">
    <w:name w:val="Revision"/>
    <w:hidden/>
    <w:uiPriority w:val="99"/>
    <w:semiHidden/>
    <w:rsid w:val="00390FA0"/>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ti.engagement@industry.gov.au" TargetMode="External"/><Relationship Id="rId13" Type="http://schemas.openxmlformats.org/officeDocument/2006/relationships/header" Target="header3.xml"/><Relationship Id="rId18" Type="http://schemas.openxmlformats.org/officeDocument/2006/relationships/hyperlink" Target="https://business.gov.au/grants-and-programs/research-and-development-tax-incentive/customer-portal-help-and-support"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abs.gov.au/statistics/classifications/australian-and-new-zealand-standard-research-classification-anzsrc/latest-releas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usiness.us14.list-manage.com/track/click?u=679f06865b91e800d857aa72f&amp;id=02951a0dfe&amp;e=6ec8f2f9d4"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aph.gov.au/Parliamentary_Business/Bills_Legislation/Bills_Search_Results/Result?bId=r6838" TargetMode="External"/><Relationship Id="rId20" Type="http://schemas.openxmlformats.org/officeDocument/2006/relationships/hyperlink" Target="https://www.eventbrite.com.au/e/guide-to-accessing-the-rdti-customer-portal-registration-221144829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business.gov.au/grants-and-programs/research-and-development-tax-incentive/customer-portal-help-and-support)"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business.gov.au/grants-and-programs/research-and-development-tax-incentive/customer-portal-help-and-suppor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bs.gov.au/statistics/classifications/australian-and-new-zealand-standard-research-classification-anzsrc/latest-releas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EP 2020 Colours">
      <a:dk1>
        <a:sysClr val="windowText" lastClr="000000"/>
      </a:dk1>
      <a:lt1>
        <a:sysClr val="window" lastClr="FFFFFF"/>
      </a:lt1>
      <a:dk2>
        <a:srgbClr val="212A4C"/>
      </a:dk2>
      <a:lt2>
        <a:srgbClr val="E6E6E6"/>
      </a:lt2>
      <a:accent1>
        <a:srgbClr val="212A4C"/>
      </a:accent1>
      <a:accent2>
        <a:srgbClr val="264F90"/>
      </a:accent2>
      <a:accent3>
        <a:srgbClr val="176CB5"/>
      </a:accent3>
      <a:accent4>
        <a:srgbClr val="218080"/>
      </a:accent4>
      <a:accent5>
        <a:srgbClr val="E5B13D"/>
      </a:accent5>
      <a:accent6>
        <a:srgbClr val="A42079"/>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26070-C4C6-4DF9-895E-5AFAEF4B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5521</Words>
  <Characters>31473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2022-05-13T05:32:00Z</dcterms:created>
  <dcterms:modified xsi:type="dcterms:W3CDTF">2022-05-13T05:32:00Z</dcterms:modified>
</cp:coreProperties>
</file>