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5C2AE" w14:textId="77777777" w:rsidR="000A1C04" w:rsidRDefault="000A1C04" w:rsidP="00647D19">
      <w:pPr>
        <w:pStyle w:val="Title"/>
        <w:jc w:val="center"/>
        <w:rPr>
          <w:sz w:val="52"/>
        </w:rPr>
      </w:pPr>
    </w:p>
    <w:p w14:paraId="6D38E094" w14:textId="22EA7B35" w:rsidR="00B729E2" w:rsidRPr="00500289" w:rsidRDefault="00C05DB9" w:rsidP="00647D19">
      <w:pPr>
        <w:pStyle w:val="Title"/>
        <w:jc w:val="center"/>
        <w:rPr>
          <w:sz w:val="52"/>
        </w:rPr>
      </w:pPr>
      <w:r w:rsidRPr="00500289">
        <w:rPr>
          <w:sz w:val="52"/>
        </w:rPr>
        <w:t>R&amp;D Tax Incentive</w:t>
      </w:r>
      <w:r w:rsidR="00B729E2" w:rsidRPr="00500289">
        <w:rPr>
          <w:sz w:val="52"/>
        </w:rPr>
        <w:br/>
        <w:t>State Reference Group</w:t>
      </w:r>
    </w:p>
    <w:p w14:paraId="0F58CD4A" w14:textId="4FF62027" w:rsidR="00D06FDA" w:rsidRDefault="00B729E2" w:rsidP="00EC3DAC">
      <w:pPr>
        <w:pStyle w:val="Heading1"/>
        <w:jc w:val="center"/>
      </w:pPr>
      <w:r>
        <w:t xml:space="preserve">November </w:t>
      </w:r>
      <w:r w:rsidR="00EC3DAC">
        <w:t>2021</w:t>
      </w:r>
    </w:p>
    <w:p w14:paraId="5CC843E2" w14:textId="59AD3741" w:rsidR="00061D6A" w:rsidRPr="00253CF0" w:rsidRDefault="00783369" w:rsidP="00B729E2">
      <w:pPr>
        <w:pStyle w:val="TableHeading"/>
        <w:jc w:val="center"/>
        <w:rPr>
          <w:sz w:val="22"/>
          <w:szCs w:val="22"/>
        </w:rPr>
      </w:pPr>
      <w:r>
        <w:rPr>
          <w:sz w:val="22"/>
          <w:szCs w:val="22"/>
        </w:rPr>
        <w:t>Meeting RECORD</w:t>
      </w:r>
    </w:p>
    <w:p w14:paraId="33637704" w14:textId="77777777" w:rsidR="00C453DA" w:rsidRDefault="00C453DA" w:rsidP="009B68AA">
      <w:bookmarkStart w:id="0" w:name="_Toc47017057"/>
      <w:bookmarkStart w:id="1" w:name="_Toc47360263"/>
      <w:bookmarkStart w:id="2" w:name="_Toc47366591"/>
      <w:bookmarkStart w:id="3" w:name="_Toc47367221"/>
      <w:bookmarkStart w:id="4" w:name="_Toc47387305"/>
      <w:bookmarkStart w:id="5" w:name="_Toc47446270"/>
      <w:bookmarkStart w:id="6" w:name="_Toc54776172"/>
      <w:bookmarkStart w:id="7" w:name="_Toc54966595"/>
      <w:bookmarkStart w:id="8" w:name="_Toc55305698"/>
    </w:p>
    <w:tbl>
      <w:tblPr>
        <w:tblStyle w:val="BEPTable1"/>
        <w:tblW w:w="5000" w:type="pct"/>
        <w:tblLayout w:type="fixed"/>
        <w:tblLook w:val="0620" w:firstRow="1" w:lastRow="0" w:firstColumn="0" w:lastColumn="0" w:noHBand="1" w:noVBand="1"/>
      </w:tblPr>
      <w:tblGrid>
        <w:gridCol w:w="6658"/>
        <w:gridCol w:w="3798"/>
      </w:tblGrid>
      <w:tr w:rsidR="00C453DA" w:rsidRPr="00253CF0" w14:paraId="135C3732" w14:textId="77777777" w:rsidTr="00A14228">
        <w:trPr>
          <w:cnfStyle w:val="100000000000" w:firstRow="1" w:lastRow="0" w:firstColumn="0" w:lastColumn="0" w:oddVBand="0" w:evenVBand="0" w:oddHBand="0" w:evenHBand="0" w:firstRowFirstColumn="0" w:firstRowLastColumn="0" w:lastRowFirstColumn="0" w:lastRowLastColumn="0"/>
          <w:trHeight w:val="113"/>
        </w:trPr>
        <w:tc>
          <w:tcPr>
            <w:tcW w:w="3184" w:type="pct"/>
            <w:tcBorders>
              <w:top w:val="single" w:sz="4" w:space="0" w:color="auto"/>
              <w:left w:val="single" w:sz="4" w:space="0" w:color="auto"/>
              <w:bottom w:val="single" w:sz="4" w:space="0" w:color="auto"/>
              <w:right w:val="single" w:sz="4" w:space="0" w:color="auto"/>
            </w:tcBorders>
            <w:shd w:val="clear" w:color="auto" w:fill="DFE7F6"/>
          </w:tcPr>
          <w:p w14:paraId="17E8F099" w14:textId="77777777" w:rsidR="00C453DA" w:rsidRPr="00C453DA" w:rsidRDefault="00C453DA" w:rsidP="00A14228">
            <w:pPr>
              <w:rPr>
                <w:rFonts w:cstheme="minorHAnsi"/>
                <w:sz w:val="22"/>
                <w:szCs w:val="22"/>
              </w:rPr>
            </w:pPr>
            <w:r w:rsidRPr="00C453DA">
              <w:rPr>
                <w:rFonts w:eastAsia="Calibri" w:cs="Calibri"/>
                <w:bCs/>
                <w:sz w:val="22"/>
                <w:szCs w:val="22"/>
                <w:lang w:eastAsia="en-AU"/>
              </w:rPr>
              <w:t xml:space="preserve">Agenda </w:t>
            </w:r>
          </w:p>
        </w:tc>
        <w:tc>
          <w:tcPr>
            <w:tcW w:w="1816" w:type="pct"/>
            <w:tcBorders>
              <w:top w:val="single" w:sz="4" w:space="0" w:color="auto"/>
              <w:left w:val="single" w:sz="4" w:space="0" w:color="auto"/>
              <w:bottom w:val="single" w:sz="4" w:space="0" w:color="auto"/>
              <w:right w:val="single" w:sz="4" w:space="0" w:color="auto"/>
            </w:tcBorders>
            <w:shd w:val="clear" w:color="auto" w:fill="DFE7F6"/>
          </w:tcPr>
          <w:p w14:paraId="5E62E79C" w14:textId="77777777" w:rsidR="00C453DA" w:rsidRPr="00C453DA" w:rsidRDefault="00C453DA" w:rsidP="00A14228">
            <w:pPr>
              <w:rPr>
                <w:rFonts w:cstheme="minorHAnsi"/>
                <w:sz w:val="22"/>
                <w:szCs w:val="22"/>
              </w:rPr>
            </w:pPr>
            <w:r w:rsidRPr="00C453DA">
              <w:rPr>
                <w:rFonts w:eastAsia="Calibri" w:cs="Calibri"/>
                <w:bCs/>
                <w:sz w:val="22"/>
                <w:szCs w:val="22"/>
                <w:lang w:eastAsia="en-AU"/>
              </w:rPr>
              <w:t>Presenter(s)</w:t>
            </w:r>
          </w:p>
        </w:tc>
      </w:tr>
      <w:tr w:rsidR="00C453DA" w:rsidRPr="00253CF0" w14:paraId="57CD2EBB" w14:textId="77777777" w:rsidTr="00A14228">
        <w:trPr>
          <w:trHeight w:val="113"/>
        </w:trPr>
        <w:tc>
          <w:tcPr>
            <w:tcW w:w="3184" w:type="pct"/>
            <w:tcBorders>
              <w:top w:val="single" w:sz="4" w:space="0" w:color="auto"/>
              <w:left w:val="single" w:sz="4" w:space="0" w:color="auto"/>
              <w:bottom w:val="single" w:sz="4" w:space="0" w:color="auto"/>
              <w:right w:val="single" w:sz="4" w:space="0" w:color="auto"/>
            </w:tcBorders>
          </w:tcPr>
          <w:p w14:paraId="53BE45BD" w14:textId="77777777" w:rsidR="00C453DA" w:rsidRPr="00C453DA" w:rsidRDefault="00C453DA" w:rsidP="00C453DA">
            <w:pPr>
              <w:pStyle w:val="ListParagraph"/>
              <w:numPr>
                <w:ilvl w:val="0"/>
                <w:numId w:val="40"/>
              </w:numPr>
              <w:spacing w:before="0" w:after="0"/>
              <w:ind w:left="738" w:hanging="562"/>
              <w:rPr>
                <w:sz w:val="22"/>
                <w:szCs w:val="22"/>
              </w:rPr>
            </w:pPr>
            <w:r w:rsidRPr="00C453DA">
              <w:rPr>
                <w:sz w:val="22"/>
                <w:szCs w:val="22"/>
              </w:rPr>
              <w:t>Welcome</w:t>
            </w:r>
          </w:p>
          <w:p w14:paraId="458655ED" w14:textId="77777777" w:rsidR="00C453DA" w:rsidRPr="00C453DA" w:rsidRDefault="00C453DA" w:rsidP="00C453DA">
            <w:pPr>
              <w:ind w:left="738" w:hanging="562"/>
              <w:rPr>
                <w:rFonts w:cstheme="minorHAnsi"/>
                <w:sz w:val="22"/>
                <w:szCs w:val="22"/>
              </w:rPr>
            </w:pPr>
          </w:p>
        </w:tc>
        <w:tc>
          <w:tcPr>
            <w:tcW w:w="1816" w:type="pct"/>
            <w:tcBorders>
              <w:top w:val="single" w:sz="4" w:space="0" w:color="auto"/>
              <w:left w:val="single" w:sz="4" w:space="0" w:color="auto"/>
              <w:bottom w:val="single" w:sz="4" w:space="0" w:color="auto"/>
              <w:right w:val="single" w:sz="4" w:space="0" w:color="auto"/>
            </w:tcBorders>
          </w:tcPr>
          <w:p w14:paraId="4D9B3F03" w14:textId="77777777" w:rsidR="00C453DA" w:rsidRPr="00C453DA" w:rsidRDefault="00C453DA" w:rsidP="00A14228">
            <w:pPr>
              <w:pStyle w:val="ListParagraph"/>
              <w:ind w:left="0"/>
              <w:rPr>
                <w:rFonts w:cstheme="minorHAnsi"/>
                <w:b/>
                <w:sz w:val="22"/>
                <w:szCs w:val="22"/>
              </w:rPr>
            </w:pPr>
            <w:r w:rsidRPr="00C453DA">
              <w:rPr>
                <w:rFonts w:eastAsia="Times New Roman" w:cstheme="minorHAnsi"/>
                <w:sz w:val="22"/>
                <w:szCs w:val="22"/>
                <w:lang w:eastAsia="en-AU"/>
              </w:rPr>
              <w:t>State Chair</w:t>
            </w:r>
          </w:p>
        </w:tc>
      </w:tr>
      <w:tr w:rsidR="00C453DA" w:rsidRPr="00253CF0" w14:paraId="37D69BF8" w14:textId="77777777" w:rsidTr="00A14228">
        <w:trPr>
          <w:trHeight w:val="113"/>
        </w:trPr>
        <w:tc>
          <w:tcPr>
            <w:tcW w:w="3184" w:type="pct"/>
            <w:tcBorders>
              <w:top w:val="single" w:sz="4" w:space="0" w:color="auto"/>
              <w:left w:val="single" w:sz="4" w:space="0" w:color="auto"/>
              <w:bottom w:val="single" w:sz="4" w:space="0" w:color="auto"/>
              <w:right w:val="single" w:sz="4" w:space="0" w:color="auto"/>
            </w:tcBorders>
          </w:tcPr>
          <w:p w14:paraId="75869133" w14:textId="6F2C7A2B" w:rsidR="00C453DA" w:rsidRPr="00C453DA" w:rsidRDefault="00C453DA" w:rsidP="00C453DA">
            <w:pPr>
              <w:pStyle w:val="ListParagraph"/>
              <w:numPr>
                <w:ilvl w:val="0"/>
                <w:numId w:val="40"/>
              </w:numPr>
              <w:ind w:left="738" w:hanging="562"/>
              <w:rPr>
                <w:rFonts w:cstheme="minorHAnsi"/>
                <w:sz w:val="22"/>
                <w:szCs w:val="22"/>
              </w:rPr>
            </w:pPr>
            <w:r w:rsidRPr="00C453DA">
              <w:rPr>
                <w:sz w:val="22"/>
                <w:szCs w:val="22"/>
              </w:rPr>
              <w:t>10 Years of R&amp;DTI</w:t>
            </w:r>
          </w:p>
        </w:tc>
        <w:tc>
          <w:tcPr>
            <w:tcW w:w="1816" w:type="pct"/>
            <w:tcBorders>
              <w:top w:val="single" w:sz="4" w:space="0" w:color="auto"/>
              <w:left w:val="single" w:sz="4" w:space="0" w:color="auto"/>
              <w:bottom w:val="single" w:sz="4" w:space="0" w:color="auto"/>
              <w:right w:val="single" w:sz="4" w:space="0" w:color="auto"/>
            </w:tcBorders>
          </w:tcPr>
          <w:p w14:paraId="467D467E" w14:textId="77777777" w:rsidR="00C453DA" w:rsidRPr="00C453DA" w:rsidRDefault="00C453DA" w:rsidP="00A14228">
            <w:pPr>
              <w:spacing w:line="276" w:lineRule="auto"/>
              <w:rPr>
                <w:rFonts w:eastAsia="Times New Roman" w:cstheme="minorHAnsi"/>
                <w:sz w:val="22"/>
                <w:szCs w:val="22"/>
                <w:lang w:eastAsia="en-AU"/>
              </w:rPr>
            </w:pPr>
            <w:r w:rsidRPr="00C453DA">
              <w:rPr>
                <w:rFonts w:eastAsia="Times New Roman" w:cstheme="minorHAnsi"/>
                <w:sz w:val="22"/>
                <w:szCs w:val="22"/>
                <w:lang w:eastAsia="en-AU"/>
              </w:rPr>
              <w:t xml:space="preserve">Kirsty Gowans (AusIndustry) </w:t>
            </w:r>
          </w:p>
          <w:p w14:paraId="4F061814" w14:textId="028FD10E" w:rsidR="00C453DA" w:rsidRPr="00C453DA" w:rsidRDefault="00C453DA" w:rsidP="00A14228">
            <w:pPr>
              <w:pStyle w:val="ListParagraph"/>
              <w:ind w:left="0"/>
              <w:rPr>
                <w:rFonts w:cstheme="minorHAnsi"/>
                <w:sz w:val="22"/>
                <w:szCs w:val="22"/>
              </w:rPr>
            </w:pPr>
            <w:r w:rsidRPr="00C453DA">
              <w:rPr>
                <w:rFonts w:eastAsia="Times New Roman" w:cstheme="minorHAnsi"/>
                <w:sz w:val="22"/>
                <w:szCs w:val="22"/>
                <w:lang w:eastAsia="en-AU"/>
              </w:rPr>
              <w:t xml:space="preserve">Jade Hawkins </w:t>
            </w:r>
            <w:r w:rsidR="00631E68">
              <w:rPr>
                <w:rFonts w:eastAsia="Times New Roman" w:cstheme="minorHAnsi"/>
                <w:sz w:val="22"/>
                <w:szCs w:val="22"/>
                <w:lang w:eastAsia="en-AU"/>
              </w:rPr>
              <w:t xml:space="preserve">/ Brett Challans </w:t>
            </w:r>
            <w:r w:rsidRPr="00C453DA">
              <w:rPr>
                <w:rFonts w:eastAsia="Times New Roman" w:cstheme="minorHAnsi"/>
                <w:sz w:val="22"/>
                <w:szCs w:val="22"/>
                <w:lang w:eastAsia="en-AU"/>
              </w:rPr>
              <w:t>(ATO)</w:t>
            </w:r>
          </w:p>
        </w:tc>
      </w:tr>
      <w:tr w:rsidR="00C453DA" w:rsidRPr="00253CF0" w14:paraId="1374FA48" w14:textId="77777777" w:rsidTr="00A14228">
        <w:trPr>
          <w:trHeight w:val="113"/>
        </w:trPr>
        <w:tc>
          <w:tcPr>
            <w:tcW w:w="3184" w:type="pct"/>
            <w:tcBorders>
              <w:top w:val="single" w:sz="4" w:space="0" w:color="auto"/>
              <w:left w:val="single" w:sz="4" w:space="0" w:color="auto"/>
              <w:bottom w:val="single" w:sz="4" w:space="0" w:color="auto"/>
              <w:right w:val="single" w:sz="4" w:space="0" w:color="auto"/>
            </w:tcBorders>
          </w:tcPr>
          <w:p w14:paraId="3F2A57BB" w14:textId="77777777" w:rsidR="00C453DA" w:rsidRPr="00C453DA" w:rsidRDefault="00C453DA" w:rsidP="00C453DA">
            <w:pPr>
              <w:pStyle w:val="ListParagraph"/>
              <w:numPr>
                <w:ilvl w:val="0"/>
                <w:numId w:val="40"/>
              </w:numPr>
              <w:spacing w:before="0" w:after="0"/>
              <w:ind w:left="738" w:hanging="562"/>
              <w:rPr>
                <w:sz w:val="22"/>
                <w:szCs w:val="22"/>
              </w:rPr>
            </w:pPr>
            <w:r w:rsidRPr="00C453DA">
              <w:rPr>
                <w:sz w:val="22"/>
                <w:szCs w:val="22"/>
              </w:rPr>
              <w:t>Program Management</w:t>
            </w:r>
          </w:p>
          <w:p w14:paraId="56746438" w14:textId="77777777" w:rsidR="00C453DA" w:rsidRPr="00C453DA" w:rsidRDefault="00C453DA" w:rsidP="00631E68">
            <w:pPr>
              <w:pStyle w:val="ListParagraph"/>
              <w:numPr>
                <w:ilvl w:val="0"/>
                <w:numId w:val="41"/>
              </w:numPr>
              <w:spacing w:before="0" w:after="0"/>
              <w:ind w:left="1021" w:hanging="141"/>
              <w:rPr>
                <w:sz w:val="22"/>
                <w:szCs w:val="22"/>
              </w:rPr>
            </w:pPr>
            <w:r w:rsidRPr="00C453DA">
              <w:rPr>
                <w:sz w:val="22"/>
                <w:szCs w:val="22"/>
              </w:rPr>
              <w:t>Program performance</w:t>
            </w:r>
          </w:p>
          <w:p w14:paraId="4A359687" w14:textId="77777777" w:rsidR="00C453DA" w:rsidRPr="00C453DA" w:rsidRDefault="00C453DA" w:rsidP="00631E68">
            <w:pPr>
              <w:pStyle w:val="ListParagraph"/>
              <w:numPr>
                <w:ilvl w:val="0"/>
                <w:numId w:val="41"/>
              </w:numPr>
              <w:spacing w:before="0" w:after="0"/>
              <w:ind w:left="1021" w:hanging="141"/>
              <w:rPr>
                <w:sz w:val="22"/>
                <w:szCs w:val="22"/>
              </w:rPr>
            </w:pPr>
            <w:r w:rsidRPr="00C453DA">
              <w:rPr>
                <w:sz w:val="22"/>
                <w:szCs w:val="22"/>
              </w:rPr>
              <w:t>R&amp;DTI Customer Portal</w:t>
            </w:r>
          </w:p>
          <w:p w14:paraId="04DC9F40" w14:textId="011379C2" w:rsidR="00C453DA" w:rsidRPr="00C453DA" w:rsidRDefault="00C453DA" w:rsidP="00631E68">
            <w:pPr>
              <w:pStyle w:val="ListParagraph"/>
              <w:numPr>
                <w:ilvl w:val="0"/>
                <w:numId w:val="41"/>
              </w:numPr>
              <w:ind w:left="1021" w:hanging="141"/>
              <w:rPr>
                <w:rFonts w:cstheme="minorHAnsi"/>
                <w:sz w:val="22"/>
                <w:szCs w:val="22"/>
              </w:rPr>
            </w:pPr>
            <w:r w:rsidRPr="00C453DA">
              <w:rPr>
                <w:sz w:val="22"/>
                <w:szCs w:val="22"/>
              </w:rPr>
              <w:t>Registration observations</w:t>
            </w:r>
          </w:p>
        </w:tc>
        <w:tc>
          <w:tcPr>
            <w:tcW w:w="1816" w:type="pct"/>
            <w:tcBorders>
              <w:top w:val="single" w:sz="4" w:space="0" w:color="auto"/>
              <w:left w:val="single" w:sz="4" w:space="0" w:color="auto"/>
              <w:bottom w:val="single" w:sz="4" w:space="0" w:color="auto"/>
              <w:right w:val="single" w:sz="4" w:space="0" w:color="auto"/>
            </w:tcBorders>
          </w:tcPr>
          <w:p w14:paraId="2EC9D0E3" w14:textId="3787B44E" w:rsidR="00C453DA" w:rsidRPr="00C453DA" w:rsidRDefault="00C453DA" w:rsidP="00A14228">
            <w:pPr>
              <w:pStyle w:val="ListParagraph"/>
              <w:ind w:left="0"/>
              <w:rPr>
                <w:rFonts w:eastAsia="Times New Roman" w:cstheme="minorHAnsi"/>
                <w:sz w:val="22"/>
                <w:szCs w:val="22"/>
                <w:lang w:eastAsia="en-AU"/>
              </w:rPr>
            </w:pPr>
            <w:r w:rsidRPr="00C453DA">
              <w:rPr>
                <w:rFonts w:eastAsia="Times New Roman" w:cstheme="minorHAnsi"/>
                <w:sz w:val="22"/>
                <w:szCs w:val="22"/>
                <w:lang w:eastAsia="en-AU"/>
              </w:rPr>
              <w:t>Louise Brian (AusIndustry)</w:t>
            </w:r>
          </w:p>
          <w:p w14:paraId="1ED60470" w14:textId="1799886C" w:rsidR="00C453DA" w:rsidRPr="00C453DA" w:rsidRDefault="00C453DA" w:rsidP="00A14228">
            <w:pPr>
              <w:pStyle w:val="ListParagraph"/>
              <w:ind w:left="0"/>
              <w:rPr>
                <w:rFonts w:cstheme="minorHAnsi"/>
                <w:sz w:val="22"/>
                <w:szCs w:val="22"/>
              </w:rPr>
            </w:pPr>
            <w:r w:rsidRPr="00C453DA">
              <w:rPr>
                <w:rFonts w:eastAsia="Times New Roman" w:cstheme="minorHAnsi"/>
                <w:sz w:val="22"/>
                <w:szCs w:val="22"/>
                <w:lang w:eastAsia="en-AU"/>
              </w:rPr>
              <w:t>Keelie Williams (AusIndustry)</w:t>
            </w:r>
            <w:r w:rsidRPr="00C453DA">
              <w:rPr>
                <w:rFonts w:eastAsia="Times New Roman" w:cstheme="minorHAnsi"/>
                <w:sz w:val="22"/>
                <w:szCs w:val="22"/>
                <w:lang w:eastAsia="en-AU"/>
              </w:rPr>
              <w:br/>
              <w:t>Kelley Wiggins / Tom Gilbert (AusIndustry)</w:t>
            </w:r>
          </w:p>
        </w:tc>
      </w:tr>
      <w:tr w:rsidR="00C453DA" w:rsidRPr="00253CF0" w14:paraId="3AF307CB" w14:textId="77777777" w:rsidTr="00A14228">
        <w:trPr>
          <w:trHeight w:val="113"/>
        </w:trPr>
        <w:tc>
          <w:tcPr>
            <w:tcW w:w="3184" w:type="pct"/>
            <w:tcBorders>
              <w:top w:val="single" w:sz="4" w:space="0" w:color="auto"/>
              <w:left w:val="single" w:sz="4" w:space="0" w:color="auto"/>
              <w:bottom w:val="single" w:sz="4" w:space="0" w:color="auto"/>
              <w:right w:val="single" w:sz="4" w:space="0" w:color="auto"/>
            </w:tcBorders>
          </w:tcPr>
          <w:p w14:paraId="09B25B79" w14:textId="1603A6DB" w:rsidR="00C453DA" w:rsidRPr="00C453DA" w:rsidRDefault="00C453DA" w:rsidP="00C453DA">
            <w:pPr>
              <w:pStyle w:val="ListParagraph"/>
              <w:numPr>
                <w:ilvl w:val="0"/>
                <w:numId w:val="40"/>
              </w:numPr>
              <w:ind w:left="738" w:hanging="562"/>
              <w:rPr>
                <w:rFonts w:cstheme="minorHAnsi"/>
                <w:sz w:val="22"/>
                <w:szCs w:val="22"/>
              </w:rPr>
            </w:pPr>
            <w:r w:rsidRPr="00C453DA">
              <w:rPr>
                <w:sz w:val="22"/>
                <w:szCs w:val="22"/>
              </w:rPr>
              <w:t xml:space="preserve">ATO Program Update –ATO Presenting </w:t>
            </w:r>
          </w:p>
        </w:tc>
        <w:tc>
          <w:tcPr>
            <w:tcW w:w="1816" w:type="pct"/>
            <w:tcBorders>
              <w:top w:val="single" w:sz="4" w:space="0" w:color="auto"/>
              <w:left w:val="single" w:sz="4" w:space="0" w:color="auto"/>
              <w:bottom w:val="single" w:sz="4" w:space="0" w:color="auto"/>
              <w:right w:val="single" w:sz="4" w:space="0" w:color="auto"/>
            </w:tcBorders>
          </w:tcPr>
          <w:p w14:paraId="1A6BF718" w14:textId="77777777" w:rsidR="00C453DA" w:rsidRPr="00C453DA" w:rsidRDefault="00C453DA" w:rsidP="00A14228">
            <w:pPr>
              <w:pStyle w:val="ListParagraph"/>
              <w:ind w:left="0"/>
              <w:rPr>
                <w:rFonts w:cstheme="minorHAnsi"/>
                <w:sz w:val="22"/>
                <w:szCs w:val="22"/>
              </w:rPr>
            </w:pPr>
            <w:r w:rsidRPr="00C453DA">
              <w:rPr>
                <w:rFonts w:eastAsia="Times New Roman" w:cstheme="minorHAnsi"/>
                <w:sz w:val="22"/>
                <w:szCs w:val="22"/>
                <w:lang w:eastAsia="en-AU"/>
              </w:rPr>
              <w:t>Brett Challans (ATO)</w:t>
            </w:r>
          </w:p>
        </w:tc>
      </w:tr>
      <w:tr w:rsidR="00C453DA" w:rsidRPr="00253CF0" w14:paraId="6CE90778" w14:textId="77777777" w:rsidTr="00A14228">
        <w:trPr>
          <w:trHeight w:val="113"/>
        </w:trPr>
        <w:tc>
          <w:tcPr>
            <w:tcW w:w="3184" w:type="pct"/>
            <w:tcBorders>
              <w:top w:val="single" w:sz="4" w:space="0" w:color="auto"/>
              <w:left w:val="single" w:sz="4" w:space="0" w:color="auto"/>
              <w:bottom w:val="single" w:sz="4" w:space="0" w:color="auto"/>
              <w:right w:val="single" w:sz="4" w:space="0" w:color="auto"/>
            </w:tcBorders>
          </w:tcPr>
          <w:p w14:paraId="187ED9CE" w14:textId="77777777" w:rsidR="00C453DA" w:rsidRPr="00C453DA" w:rsidRDefault="00C453DA" w:rsidP="00C453DA">
            <w:pPr>
              <w:pStyle w:val="ListParagraph"/>
              <w:numPr>
                <w:ilvl w:val="0"/>
                <w:numId w:val="40"/>
              </w:numPr>
              <w:spacing w:before="0" w:after="0"/>
              <w:ind w:left="738" w:hanging="562"/>
              <w:rPr>
                <w:sz w:val="22"/>
                <w:szCs w:val="22"/>
              </w:rPr>
            </w:pPr>
            <w:r w:rsidRPr="00C453DA">
              <w:rPr>
                <w:sz w:val="22"/>
                <w:szCs w:val="22"/>
              </w:rPr>
              <w:t xml:space="preserve">Legislative Issues </w:t>
            </w:r>
          </w:p>
          <w:p w14:paraId="55766C42" w14:textId="77777777" w:rsidR="00C453DA" w:rsidRPr="00C453DA" w:rsidRDefault="00C453DA" w:rsidP="00631E68">
            <w:pPr>
              <w:pStyle w:val="ListParagraph"/>
              <w:numPr>
                <w:ilvl w:val="0"/>
                <w:numId w:val="42"/>
              </w:numPr>
              <w:ind w:left="1021" w:hanging="141"/>
              <w:rPr>
                <w:rFonts w:cstheme="minorHAnsi"/>
                <w:sz w:val="22"/>
                <w:szCs w:val="22"/>
              </w:rPr>
            </w:pPr>
            <w:r w:rsidRPr="00C453DA">
              <w:rPr>
                <w:sz w:val="22"/>
                <w:szCs w:val="22"/>
              </w:rPr>
              <w:t>Coal of Qld decision (High Court decision)</w:t>
            </w:r>
          </w:p>
        </w:tc>
        <w:tc>
          <w:tcPr>
            <w:tcW w:w="1816" w:type="pct"/>
            <w:tcBorders>
              <w:top w:val="single" w:sz="4" w:space="0" w:color="auto"/>
              <w:left w:val="single" w:sz="4" w:space="0" w:color="auto"/>
              <w:bottom w:val="single" w:sz="4" w:space="0" w:color="auto"/>
              <w:right w:val="single" w:sz="4" w:space="0" w:color="auto"/>
            </w:tcBorders>
          </w:tcPr>
          <w:p w14:paraId="3B23F133" w14:textId="77777777" w:rsidR="00C453DA" w:rsidRPr="00C453DA" w:rsidRDefault="00C453DA" w:rsidP="00A14228">
            <w:pPr>
              <w:pStyle w:val="ListParagraph"/>
              <w:ind w:left="0"/>
              <w:rPr>
                <w:rFonts w:cstheme="minorHAnsi"/>
                <w:sz w:val="22"/>
                <w:szCs w:val="22"/>
              </w:rPr>
            </w:pPr>
            <w:r w:rsidRPr="00C453DA">
              <w:rPr>
                <w:rFonts w:cstheme="minorHAnsi"/>
                <w:sz w:val="22"/>
                <w:szCs w:val="22"/>
              </w:rPr>
              <w:t>Mike Thompson / Erin Watt</w:t>
            </w:r>
            <w:r w:rsidRPr="00C453DA">
              <w:rPr>
                <w:rFonts w:cstheme="minorHAnsi"/>
                <w:sz w:val="22"/>
                <w:szCs w:val="22"/>
              </w:rPr>
              <w:br/>
              <w:t>(AusIndustry)</w:t>
            </w:r>
          </w:p>
        </w:tc>
      </w:tr>
      <w:tr w:rsidR="00C453DA" w:rsidRPr="00253CF0" w14:paraId="3CCA7D09" w14:textId="77777777" w:rsidTr="00A14228">
        <w:trPr>
          <w:trHeight w:val="113"/>
        </w:trPr>
        <w:tc>
          <w:tcPr>
            <w:tcW w:w="3184" w:type="pct"/>
            <w:tcBorders>
              <w:top w:val="single" w:sz="4" w:space="0" w:color="auto"/>
              <w:left w:val="single" w:sz="4" w:space="0" w:color="auto"/>
              <w:bottom w:val="single" w:sz="4" w:space="0" w:color="auto"/>
              <w:right w:val="single" w:sz="4" w:space="0" w:color="auto"/>
            </w:tcBorders>
          </w:tcPr>
          <w:p w14:paraId="42D06D8C" w14:textId="77777777" w:rsidR="00C453DA" w:rsidRPr="00C453DA" w:rsidRDefault="00C453DA" w:rsidP="00C453DA">
            <w:pPr>
              <w:pStyle w:val="ListParagraph"/>
              <w:numPr>
                <w:ilvl w:val="0"/>
                <w:numId w:val="40"/>
              </w:numPr>
              <w:spacing w:before="0" w:after="0"/>
              <w:ind w:left="738" w:hanging="562"/>
              <w:rPr>
                <w:sz w:val="22"/>
                <w:szCs w:val="22"/>
              </w:rPr>
            </w:pPr>
            <w:r w:rsidRPr="00C453DA">
              <w:rPr>
                <w:sz w:val="22"/>
                <w:szCs w:val="22"/>
              </w:rPr>
              <w:t>Determinations</w:t>
            </w:r>
          </w:p>
          <w:p w14:paraId="51075D83" w14:textId="77777777" w:rsidR="00C453DA" w:rsidRPr="00C453DA" w:rsidRDefault="00C453DA" w:rsidP="00631E68">
            <w:pPr>
              <w:pStyle w:val="ListParagraph"/>
              <w:numPr>
                <w:ilvl w:val="0"/>
                <w:numId w:val="43"/>
              </w:numPr>
              <w:ind w:left="1021" w:hanging="141"/>
              <w:rPr>
                <w:rFonts w:cstheme="minorHAnsi"/>
                <w:sz w:val="22"/>
                <w:szCs w:val="22"/>
              </w:rPr>
            </w:pPr>
            <w:r w:rsidRPr="00C453DA">
              <w:rPr>
                <w:sz w:val="22"/>
                <w:szCs w:val="22"/>
              </w:rPr>
              <w:t>Update on the clinical trial determination</w:t>
            </w:r>
          </w:p>
        </w:tc>
        <w:tc>
          <w:tcPr>
            <w:tcW w:w="1816" w:type="pct"/>
            <w:tcBorders>
              <w:top w:val="single" w:sz="4" w:space="0" w:color="auto"/>
              <w:left w:val="single" w:sz="4" w:space="0" w:color="auto"/>
              <w:bottom w:val="single" w:sz="4" w:space="0" w:color="auto"/>
              <w:right w:val="single" w:sz="4" w:space="0" w:color="auto"/>
            </w:tcBorders>
          </w:tcPr>
          <w:p w14:paraId="229B59A3" w14:textId="77777777" w:rsidR="00C453DA" w:rsidRPr="00C453DA" w:rsidRDefault="00C453DA" w:rsidP="00A14228">
            <w:pPr>
              <w:pStyle w:val="ListParagraph"/>
              <w:ind w:left="0"/>
              <w:rPr>
                <w:rFonts w:cstheme="minorHAnsi"/>
                <w:sz w:val="22"/>
                <w:szCs w:val="22"/>
              </w:rPr>
            </w:pPr>
            <w:r w:rsidRPr="00C453DA">
              <w:rPr>
                <w:rFonts w:eastAsia="Times New Roman" w:cstheme="minorHAnsi"/>
                <w:sz w:val="22"/>
                <w:szCs w:val="22"/>
                <w:lang w:eastAsia="en-AU"/>
              </w:rPr>
              <w:t>Chris Enders (AusIndustry)</w:t>
            </w:r>
          </w:p>
        </w:tc>
      </w:tr>
      <w:tr w:rsidR="00C453DA" w:rsidRPr="00253CF0" w14:paraId="672B0D5C" w14:textId="77777777" w:rsidTr="00A14228">
        <w:trPr>
          <w:trHeight w:val="113"/>
        </w:trPr>
        <w:tc>
          <w:tcPr>
            <w:tcW w:w="3184" w:type="pct"/>
            <w:tcBorders>
              <w:top w:val="single" w:sz="4" w:space="0" w:color="auto"/>
              <w:left w:val="single" w:sz="4" w:space="0" w:color="auto"/>
              <w:bottom w:val="single" w:sz="4" w:space="0" w:color="auto"/>
              <w:right w:val="single" w:sz="4" w:space="0" w:color="auto"/>
            </w:tcBorders>
          </w:tcPr>
          <w:p w14:paraId="3F2B8C4D" w14:textId="77777777" w:rsidR="00C453DA" w:rsidRPr="00C453DA" w:rsidRDefault="00C453DA" w:rsidP="00C453DA">
            <w:pPr>
              <w:pStyle w:val="ListParagraph"/>
              <w:numPr>
                <w:ilvl w:val="0"/>
                <w:numId w:val="40"/>
              </w:numPr>
              <w:spacing w:before="0" w:after="0"/>
              <w:ind w:left="738" w:hanging="562"/>
              <w:rPr>
                <w:sz w:val="22"/>
                <w:szCs w:val="22"/>
              </w:rPr>
            </w:pPr>
            <w:r w:rsidRPr="00C453DA">
              <w:rPr>
                <w:sz w:val="22"/>
                <w:szCs w:val="22"/>
              </w:rPr>
              <w:t>Program Guidance</w:t>
            </w:r>
          </w:p>
          <w:p w14:paraId="04B22B23" w14:textId="77777777" w:rsidR="00C453DA" w:rsidRPr="00C453DA" w:rsidRDefault="00C453DA" w:rsidP="00631E68">
            <w:pPr>
              <w:pStyle w:val="ListParagraph"/>
              <w:numPr>
                <w:ilvl w:val="0"/>
                <w:numId w:val="44"/>
              </w:numPr>
              <w:ind w:left="1021" w:hanging="141"/>
              <w:rPr>
                <w:rFonts w:cstheme="minorHAnsi"/>
                <w:sz w:val="22"/>
                <w:szCs w:val="22"/>
              </w:rPr>
            </w:pPr>
            <w:r w:rsidRPr="00C453DA">
              <w:rPr>
                <w:sz w:val="22"/>
                <w:szCs w:val="22"/>
              </w:rPr>
              <w:t>Software Guidance</w:t>
            </w:r>
          </w:p>
        </w:tc>
        <w:tc>
          <w:tcPr>
            <w:tcW w:w="1816" w:type="pct"/>
            <w:tcBorders>
              <w:top w:val="single" w:sz="4" w:space="0" w:color="auto"/>
              <w:left w:val="single" w:sz="4" w:space="0" w:color="auto"/>
              <w:bottom w:val="single" w:sz="4" w:space="0" w:color="auto"/>
              <w:right w:val="single" w:sz="4" w:space="0" w:color="auto"/>
            </w:tcBorders>
          </w:tcPr>
          <w:p w14:paraId="422D83EE" w14:textId="77777777" w:rsidR="00C453DA" w:rsidRPr="00C453DA" w:rsidRDefault="00C453DA" w:rsidP="00A14228">
            <w:pPr>
              <w:pStyle w:val="ListParagraph"/>
              <w:ind w:left="0"/>
              <w:rPr>
                <w:rFonts w:cstheme="minorHAnsi"/>
                <w:sz w:val="22"/>
                <w:szCs w:val="22"/>
              </w:rPr>
            </w:pPr>
            <w:r w:rsidRPr="00C453DA">
              <w:rPr>
                <w:rFonts w:eastAsia="Times New Roman" w:cstheme="minorHAnsi"/>
                <w:sz w:val="22"/>
                <w:szCs w:val="22"/>
                <w:lang w:eastAsia="en-AU"/>
              </w:rPr>
              <w:t>Chris Enders (AusIndustry)</w:t>
            </w:r>
          </w:p>
        </w:tc>
      </w:tr>
      <w:tr w:rsidR="00C453DA" w:rsidRPr="00253CF0" w14:paraId="3E5DA677" w14:textId="77777777" w:rsidTr="00A14228">
        <w:trPr>
          <w:trHeight w:val="113"/>
        </w:trPr>
        <w:tc>
          <w:tcPr>
            <w:tcW w:w="3184" w:type="pct"/>
            <w:tcBorders>
              <w:top w:val="single" w:sz="4" w:space="0" w:color="auto"/>
              <w:left w:val="single" w:sz="4" w:space="0" w:color="auto"/>
              <w:bottom w:val="single" w:sz="4" w:space="0" w:color="auto"/>
              <w:right w:val="single" w:sz="4" w:space="0" w:color="auto"/>
            </w:tcBorders>
          </w:tcPr>
          <w:p w14:paraId="79AC82B2" w14:textId="77773B3D" w:rsidR="00C453DA" w:rsidRPr="00C453DA" w:rsidRDefault="00C453DA" w:rsidP="00C453DA">
            <w:pPr>
              <w:pStyle w:val="ListParagraph"/>
              <w:numPr>
                <w:ilvl w:val="0"/>
                <w:numId w:val="40"/>
              </w:numPr>
              <w:ind w:left="738" w:hanging="562"/>
              <w:rPr>
                <w:rFonts w:cstheme="minorHAnsi"/>
                <w:sz w:val="22"/>
                <w:szCs w:val="22"/>
              </w:rPr>
            </w:pPr>
            <w:r w:rsidRPr="00C453DA">
              <w:rPr>
                <w:sz w:val="22"/>
                <w:szCs w:val="22"/>
              </w:rPr>
              <w:t>SRG Survey</w:t>
            </w:r>
          </w:p>
        </w:tc>
        <w:tc>
          <w:tcPr>
            <w:tcW w:w="1816" w:type="pct"/>
            <w:tcBorders>
              <w:top w:val="single" w:sz="4" w:space="0" w:color="auto"/>
              <w:left w:val="single" w:sz="4" w:space="0" w:color="auto"/>
              <w:bottom w:val="single" w:sz="4" w:space="0" w:color="auto"/>
              <w:right w:val="single" w:sz="4" w:space="0" w:color="auto"/>
            </w:tcBorders>
          </w:tcPr>
          <w:p w14:paraId="6A1EE5AA" w14:textId="77777777" w:rsidR="00C453DA" w:rsidRPr="00C453DA" w:rsidRDefault="00C453DA" w:rsidP="00A14228">
            <w:pPr>
              <w:pStyle w:val="ListParagraph"/>
              <w:ind w:left="0"/>
              <w:rPr>
                <w:rFonts w:cstheme="minorHAnsi"/>
                <w:sz w:val="22"/>
                <w:szCs w:val="22"/>
              </w:rPr>
            </w:pPr>
            <w:r w:rsidRPr="00C453DA">
              <w:rPr>
                <w:rFonts w:eastAsia="Times New Roman" w:cstheme="minorHAnsi"/>
                <w:sz w:val="22"/>
                <w:szCs w:val="22"/>
                <w:lang w:eastAsia="en-AU"/>
              </w:rPr>
              <w:t>State Chair</w:t>
            </w:r>
          </w:p>
        </w:tc>
      </w:tr>
      <w:tr w:rsidR="00C453DA" w:rsidRPr="00253CF0" w14:paraId="6670F63D" w14:textId="77777777" w:rsidTr="00A14228">
        <w:trPr>
          <w:trHeight w:val="113"/>
        </w:trPr>
        <w:tc>
          <w:tcPr>
            <w:tcW w:w="3184" w:type="pct"/>
            <w:tcBorders>
              <w:top w:val="single" w:sz="4" w:space="0" w:color="auto"/>
              <w:left w:val="single" w:sz="4" w:space="0" w:color="auto"/>
              <w:bottom w:val="single" w:sz="4" w:space="0" w:color="auto"/>
              <w:right w:val="single" w:sz="4" w:space="0" w:color="auto"/>
            </w:tcBorders>
          </w:tcPr>
          <w:p w14:paraId="29C7F8CD" w14:textId="25D09641" w:rsidR="00C453DA" w:rsidRPr="00C453DA" w:rsidRDefault="00C453DA" w:rsidP="00C453DA">
            <w:pPr>
              <w:pStyle w:val="ListParagraph"/>
              <w:numPr>
                <w:ilvl w:val="0"/>
                <w:numId w:val="40"/>
              </w:numPr>
              <w:ind w:left="738" w:hanging="562"/>
              <w:rPr>
                <w:sz w:val="22"/>
                <w:szCs w:val="22"/>
              </w:rPr>
            </w:pPr>
            <w:r w:rsidRPr="00C453DA">
              <w:rPr>
                <w:sz w:val="22"/>
                <w:szCs w:val="22"/>
              </w:rPr>
              <w:t>Meeting Close</w:t>
            </w:r>
          </w:p>
        </w:tc>
        <w:tc>
          <w:tcPr>
            <w:tcW w:w="1816" w:type="pct"/>
            <w:tcBorders>
              <w:top w:val="single" w:sz="4" w:space="0" w:color="auto"/>
              <w:left w:val="single" w:sz="4" w:space="0" w:color="auto"/>
              <w:bottom w:val="single" w:sz="4" w:space="0" w:color="auto"/>
              <w:right w:val="single" w:sz="4" w:space="0" w:color="auto"/>
            </w:tcBorders>
          </w:tcPr>
          <w:p w14:paraId="77A09494" w14:textId="77777777" w:rsidR="00C453DA" w:rsidRPr="00C453DA" w:rsidRDefault="00C453DA" w:rsidP="00A14228">
            <w:pPr>
              <w:pStyle w:val="ListParagraph"/>
              <w:ind w:left="0"/>
              <w:rPr>
                <w:rFonts w:eastAsia="Times New Roman" w:cstheme="minorHAnsi"/>
                <w:sz w:val="22"/>
                <w:szCs w:val="22"/>
                <w:lang w:eastAsia="en-AU"/>
              </w:rPr>
            </w:pPr>
            <w:r w:rsidRPr="00C453DA">
              <w:rPr>
                <w:rFonts w:eastAsia="Times New Roman" w:cstheme="minorHAnsi"/>
                <w:sz w:val="22"/>
                <w:szCs w:val="22"/>
                <w:lang w:eastAsia="en-AU"/>
              </w:rPr>
              <w:t>State Chair</w:t>
            </w:r>
          </w:p>
        </w:tc>
      </w:tr>
    </w:tbl>
    <w:p w14:paraId="62134272" w14:textId="03B56CC0" w:rsidR="00C453DA" w:rsidRDefault="00C453DA" w:rsidP="009B68AA"/>
    <w:p w14:paraId="6219BFF0" w14:textId="77777777" w:rsidR="00C453DA" w:rsidRDefault="00C453DA">
      <w:r>
        <w:br w:type="page"/>
      </w:r>
    </w:p>
    <w:p w14:paraId="23580B47" w14:textId="77777777" w:rsidR="00C453DA" w:rsidRDefault="00C453DA" w:rsidP="009B68AA"/>
    <w:bookmarkEnd w:id="0"/>
    <w:bookmarkEnd w:id="1"/>
    <w:bookmarkEnd w:id="2"/>
    <w:bookmarkEnd w:id="3"/>
    <w:bookmarkEnd w:id="4"/>
    <w:bookmarkEnd w:id="5"/>
    <w:bookmarkEnd w:id="6"/>
    <w:bookmarkEnd w:id="7"/>
    <w:bookmarkEnd w:id="8"/>
    <w:p w14:paraId="7C045C5B" w14:textId="35C93D82" w:rsidR="009B68AA" w:rsidRPr="009B68AA" w:rsidRDefault="009B68AA" w:rsidP="00C453DA">
      <w:pPr>
        <w:pStyle w:val="Heading2"/>
        <w:numPr>
          <w:ilvl w:val="0"/>
          <w:numId w:val="45"/>
        </w:numPr>
      </w:pPr>
      <w:r w:rsidRPr="009B68AA">
        <w:t>Welcome</w:t>
      </w:r>
    </w:p>
    <w:p w14:paraId="4E5816E7" w14:textId="6253B643" w:rsidR="009B68AA" w:rsidRPr="00C453DA" w:rsidRDefault="009B68AA" w:rsidP="009B68AA">
      <w:pPr>
        <w:rPr>
          <w:rFonts w:cstheme="minorHAnsi"/>
          <w:sz w:val="22"/>
        </w:rPr>
      </w:pPr>
      <w:r w:rsidRPr="00C453DA">
        <w:rPr>
          <w:rFonts w:cstheme="minorHAnsi"/>
          <w:sz w:val="22"/>
        </w:rPr>
        <w:t xml:space="preserve">Each meeting </w:t>
      </w:r>
      <w:r w:rsidR="00C453DA">
        <w:rPr>
          <w:rFonts w:cstheme="minorHAnsi"/>
          <w:sz w:val="22"/>
        </w:rPr>
        <w:t>commenced with</w:t>
      </w:r>
      <w:r w:rsidRPr="00C453DA">
        <w:rPr>
          <w:rFonts w:cstheme="minorHAnsi"/>
          <w:sz w:val="22"/>
        </w:rPr>
        <w:t xml:space="preserve"> an Acknowledgement of Country, welcome to attendees and roll call</w:t>
      </w:r>
      <w:r w:rsidR="00631E68">
        <w:rPr>
          <w:rFonts w:cstheme="minorHAnsi"/>
          <w:sz w:val="22"/>
        </w:rPr>
        <w:t>.</w:t>
      </w:r>
    </w:p>
    <w:p w14:paraId="7E4B1032" w14:textId="13B7881C" w:rsidR="009B68AA" w:rsidRPr="00561EEC" w:rsidRDefault="009B68AA" w:rsidP="00C453DA">
      <w:pPr>
        <w:pStyle w:val="Heading2"/>
        <w:numPr>
          <w:ilvl w:val="0"/>
          <w:numId w:val="45"/>
        </w:numPr>
        <w:rPr>
          <w:rFonts w:eastAsia="Times New Roman"/>
          <w:lang w:eastAsia="en-AU"/>
        </w:rPr>
      </w:pPr>
      <w:bookmarkStart w:id="9" w:name="_Toc47017063"/>
      <w:bookmarkStart w:id="10" w:name="_Toc47360270"/>
      <w:bookmarkStart w:id="11" w:name="_Toc47366598"/>
      <w:bookmarkStart w:id="12" w:name="_Toc47367228"/>
      <w:bookmarkStart w:id="13" w:name="_Toc47387312"/>
      <w:bookmarkStart w:id="14" w:name="_Toc47446277"/>
      <w:bookmarkStart w:id="15" w:name="_Toc54776177"/>
      <w:bookmarkStart w:id="16" w:name="_Toc54966600"/>
      <w:bookmarkStart w:id="17" w:name="_Toc55305703"/>
      <w:r w:rsidRPr="00561EEC">
        <w:rPr>
          <w:rFonts w:eastAsia="Times New Roman"/>
          <w:lang w:eastAsia="en-AU"/>
        </w:rPr>
        <w:t>10 Years of R&amp;DTI</w:t>
      </w:r>
    </w:p>
    <w:p w14:paraId="7E95B9DA" w14:textId="77777777" w:rsidR="00177D26" w:rsidRDefault="009B68AA" w:rsidP="009B68AA">
      <w:pPr>
        <w:spacing w:after="0"/>
        <w:rPr>
          <w:rFonts w:eastAsia="Times New Roman" w:cstheme="minorHAnsi"/>
          <w:sz w:val="22"/>
          <w:szCs w:val="22"/>
          <w:lang w:eastAsia="en-AU"/>
        </w:rPr>
      </w:pPr>
      <w:r w:rsidRPr="00C453DA">
        <w:rPr>
          <w:rFonts w:eastAsia="Times New Roman" w:cstheme="minorHAnsi"/>
          <w:sz w:val="22"/>
          <w:szCs w:val="22"/>
          <w:lang w:eastAsia="en-AU"/>
        </w:rPr>
        <w:t>Each meeting invited Kirsty Gowans, General Manager, R&amp;D Tax Incentive Branch, AusIndustry, and Jade Hawkins, Assistant Commissioner, Australian Taxation Office (ATO), to provide insights from the perspective of the administrating agencies on the growth and reach of the R&amp;DTI over the last 10 years. When unavailable their insights were provided by an alternative speaker.</w:t>
      </w:r>
    </w:p>
    <w:p w14:paraId="20B93E7C" w14:textId="5107E797" w:rsidR="009B68AA" w:rsidRDefault="009B68AA" w:rsidP="009B68AA">
      <w:pPr>
        <w:spacing w:after="0"/>
        <w:rPr>
          <w:rFonts w:eastAsia="Times New Roman" w:cstheme="minorHAnsi"/>
          <w:sz w:val="22"/>
          <w:szCs w:val="22"/>
          <w:lang w:eastAsia="en-AU"/>
        </w:rPr>
      </w:pPr>
      <w:r w:rsidRPr="00C453DA">
        <w:rPr>
          <w:rFonts w:eastAsia="Times New Roman" w:cstheme="minorHAnsi"/>
          <w:sz w:val="22"/>
          <w:szCs w:val="22"/>
          <w:lang w:eastAsia="en-AU"/>
        </w:rPr>
        <w:t xml:space="preserve"> Kirsty noted:</w:t>
      </w:r>
    </w:p>
    <w:p w14:paraId="7D9ED94F" w14:textId="77777777" w:rsidR="009B68AA" w:rsidRPr="00C453DA" w:rsidRDefault="009B68AA" w:rsidP="009B68AA">
      <w:pPr>
        <w:pStyle w:val="ListParagraph"/>
        <w:numPr>
          <w:ilvl w:val="0"/>
          <w:numId w:val="30"/>
        </w:numPr>
        <w:spacing w:before="0" w:after="200" w:line="276" w:lineRule="auto"/>
        <w:rPr>
          <w:rFonts w:eastAsia="Times New Roman" w:cstheme="minorHAnsi"/>
          <w:sz w:val="22"/>
          <w:szCs w:val="22"/>
          <w:lang w:eastAsia="en-AU"/>
        </w:rPr>
      </w:pPr>
      <w:r w:rsidRPr="00C453DA">
        <w:rPr>
          <w:rFonts w:eastAsia="Times New Roman" w:cstheme="minorHAnsi"/>
          <w:sz w:val="22"/>
          <w:szCs w:val="22"/>
          <w:lang w:eastAsia="en-AU"/>
        </w:rPr>
        <w:t>2021 marks 10 years of operation of the R&amp;D Tax Incentive (R&amp;DTI) program. In its first decade, the program has supported well over 30,000 companies to conduct R&amp;D over they might not otherwise have conducted.</w:t>
      </w:r>
    </w:p>
    <w:p w14:paraId="5203A9BA" w14:textId="77777777" w:rsidR="009B68AA" w:rsidRPr="00C453DA" w:rsidRDefault="009B68AA" w:rsidP="009B68AA">
      <w:pPr>
        <w:pStyle w:val="ListParagraph"/>
        <w:numPr>
          <w:ilvl w:val="0"/>
          <w:numId w:val="30"/>
        </w:numPr>
        <w:spacing w:before="0" w:after="60" w:line="25" w:lineRule="atLeast"/>
        <w:rPr>
          <w:rFonts w:eastAsia="Times New Roman" w:cstheme="minorHAnsi"/>
          <w:bCs/>
          <w:sz w:val="22"/>
          <w:szCs w:val="22"/>
          <w:lang w:eastAsia="en-AU"/>
        </w:rPr>
      </w:pPr>
      <w:r w:rsidRPr="00C453DA">
        <w:rPr>
          <w:rFonts w:eastAsia="Times New Roman" w:cstheme="minorHAnsi"/>
          <w:sz w:val="22"/>
          <w:szCs w:val="22"/>
          <w:lang w:eastAsia="en-AU"/>
        </w:rPr>
        <w:t>The R&amp;DTI is now supporting 12,355 companies. The value of R&amp;D registered in the 2019-20 financial year was $12.7 billion.</w:t>
      </w:r>
    </w:p>
    <w:p w14:paraId="7193327D" w14:textId="77777777" w:rsidR="009B68AA" w:rsidRPr="00C453DA" w:rsidRDefault="009B68AA" w:rsidP="009B68AA">
      <w:pPr>
        <w:pStyle w:val="ListParagraph"/>
        <w:numPr>
          <w:ilvl w:val="0"/>
          <w:numId w:val="30"/>
        </w:numPr>
        <w:spacing w:before="0" w:after="200" w:line="276" w:lineRule="auto"/>
        <w:rPr>
          <w:rFonts w:cstheme="minorHAnsi"/>
          <w:sz w:val="22"/>
          <w:szCs w:val="22"/>
        </w:rPr>
      </w:pPr>
      <w:r w:rsidRPr="00C453DA">
        <w:rPr>
          <w:rFonts w:cstheme="minorHAnsi"/>
          <w:sz w:val="22"/>
          <w:szCs w:val="22"/>
        </w:rPr>
        <w:t>On average around 3,000 companies register for the program for the first time each income year.</w:t>
      </w:r>
    </w:p>
    <w:p w14:paraId="3704D128" w14:textId="77777777" w:rsidR="009B68AA" w:rsidRPr="00C453DA" w:rsidRDefault="009B68AA" w:rsidP="009B68AA">
      <w:pPr>
        <w:pStyle w:val="ListParagraph"/>
        <w:numPr>
          <w:ilvl w:val="0"/>
          <w:numId w:val="30"/>
        </w:numPr>
        <w:spacing w:before="0" w:after="200" w:line="276" w:lineRule="auto"/>
        <w:rPr>
          <w:rFonts w:cstheme="minorHAnsi"/>
          <w:sz w:val="22"/>
          <w:szCs w:val="22"/>
        </w:rPr>
      </w:pPr>
      <w:r w:rsidRPr="00C453DA">
        <w:rPr>
          <w:rFonts w:cstheme="minorHAnsi"/>
          <w:sz w:val="22"/>
          <w:szCs w:val="22"/>
        </w:rPr>
        <w:t>Beyond helping the companies grow and innovate, the R&amp;DTI provides further value across the R&amp;D ecosystem and Australian economy, we have examples of the R&amp;DTI encouraging:</w:t>
      </w:r>
    </w:p>
    <w:p w14:paraId="4ED8CD2A" w14:textId="77777777" w:rsidR="009B68AA" w:rsidRPr="00C453DA" w:rsidRDefault="009B68AA" w:rsidP="009B68AA">
      <w:pPr>
        <w:pStyle w:val="ListParagraph"/>
        <w:numPr>
          <w:ilvl w:val="0"/>
          <w:numId w:val="32"/>
        </w:numPr>
        <w:spacing w:before="0" w:after="200" w:line="276" w:lineRule="auto"/>
        <w:rPr>
          <w:rFonts w:cstheme="minorHAnsi"/>
          <w:sz w:val="22"/>
          <w:szCs w:val="22"/>
        </w:rPr>
      </w:pPr>
      <w:r w:rsidRPr="00C453DA">
        <w:rPr>
          <w:rFonts w:cstheme="minorHAnsi"/>
          <w:sz w:val="22"/>
          <w:szCs w:val="22"/>
        </w:rPr>
        <w:t>riskier research, resulting in projects that are more likely to have transformational and long-term impact</w:t>
      </w:r>
    </w:p>
    <w:p w14:paraId="6E4391BB" w14:textId="77777777" w:rsidR="009B68AA" w:rsidRPr="00C453DA" w:rsidRDefault="009B68AA" w:rsidP="009B68AA">
      <w:pPr>
        <w:pStyle w:val="ListParagraph"/>
        <w:numPr>
          <w:ilvl w:val="0"/>
          <w:numId w:val="32"/>
        </w:numPr>
        <w:spacing w:before="0" w:after="200" w:line="276" w:lineRule="auto"/>
        <w:rPr>
          <w:rFonts w:cstheme="minorHAnsi"/>
          <w:sz w:val="22"/>
          <w:szCs w:val="22"/>
        </w:rPr>
      </w:pPr>
      <w:r w:rsidRPr="00C453DA">
        <w:rPr>
          <w:rFonts w:cstheme="minorHAnsi"/>
          <w:sz w:val="22"/>
          <w:szCs w:val="22"/>
        </w:rPr>
        <w:t>R&amp;D staff gaining additional skills and experience leading to upskilling and improved capability of our workforce</w:t>
      </w:r>
    </w:p>
    <w:p w14:paraId="313AAC18" w14:textId="19FBFEDC" w:rsidR="009B68AA" w:rsidRPr="00C453DA" w:rsidRDefault="00C453DA" w:rsidP="009B68AA">
      <w:pPr>
        <w:pStyle w:val="ListParagraph"/>
        <w:numPr>
          <w:ilvl w:val="0"/>
          <w:numId w:val="32"/>
        </w:numPr>
        <w:spacing w:before="0" w:after="200" w:line="276" w:lineRule="auto"/>
        <w:rPr>
          <w:rFonts w:cstheme="minorHAnsi"/>
          <w:sz w:val="22"/>
          <w:szCs w:val="22"/>
        </w:rPr>
      </w:pPr>
      <w:r>
        <w:rPr>
          <w:rFonts w:cstheme="minorHAnsi"/>
          <w:sz w:val="22"/>
          <w:szCs w:val="22"/>
        </w:rPr>
        <w:t>g</w:t>
      </w:r>
      <w:r w:rsidR="009B68AA" w:rsidRPr="00C453DA">
        <w:rPr>
          <w:rFonts w:cstheme="minorHAnsi"/>
          <w:sz w:val="22"/>
          <w:szCs w:val="22"/>
        </w:rPr>
        <w:t>reater collaboration within industries and speeding up industry-wide innovation</w:t>
      </w:r>
    </w:p>
    <w:p w14:paraId="32E8E39F" w14:textId="2B23B576" w:rsidR="009B68AA" w:rsidRPr="00C453DA" w:rsidRDefault="00C453DA" w:rsidP="009B68AA">
      <w:pPr>
        <w:pStyle w:val="ListParagraph"/>
        <w:numPr>
          <w:ilvl w:val="0"/>
          <w:numId w:val="32"/>
        </w:numPr>
        <w:spacing w:before="0" w:after="200" w:line="276" w:lineRule="auto"/>
        <w:rPr>
          <w:rFonts w:cstheme="minorHAnsi"/>
          <w:sz w:val="22"/>
          <w:szCs w:val="22"/>
        </w:rPr>
      </w:pPr>
      <w:r>
        <w:rPr>
          <w:rFonts w:cstheme="minorHAnsi"/>
          <w:sz w:val="22"/>
          <w:szCs w:val="22"/>
        </w:rPr>
        <w:t>p</w:t>
      </w:r>
      <w:r w:rsidR="009B68AA" w:rsidRPr="00C453DA">
        <w:rPr>
          <w:rFonts w:cstheme="minorHAnsi"/>
          <w:sz w:val="22"/>
          <w:szCs w:val="22"/>
        </w:rPr>
        <w:t>roduct innovation that promotes upskilling the wider supply chain creating a thriving ecosystem</w:t>
      </w:r>
    </w:p>
    <w:p w14:paraId="2B710881" w14:textId="77777777" w:rsidR="009B68AA" w:rsidRPr="00C453DA" w:rsidRDefault="009B68AA" w:rsidP="009B68AA">
      <w:pPr>
        <w:pStyle w:val="ListParagraph"/>
        <w:numPr>
          <w:ilvl w:val="0"/>
          <w:numId w:val="33"/>
        </w:numPr>
        <w:spacing w:before="0" w:after="200" w:line="276" w:lineRule="auto"/>
        <w:rPr>
          <w:rFonts w:cstheme="minorHAnsi"/>
          <w:sz w:val="22"/>
          <w:szCs w:val="22"/>
        </w:rPr>
      </w:pPr>
      <w:r w:rsidRPr="00C453DA">
        <w:rPr>
          <w:rFonts w:cstheme="minorHAnsi"/>
          <w:sz w:val="22"/>
          <w:szCs w:val="22"/>
        </w:rPr>
        <w:t>While many companies may still conduct R&amp;D in the absence of a tax incentive, the R&amp;DTI allows them to do so with increased intensity.</w:t>
      </w:r>
    </w:p>
    <w:p w14:paraId="2A600A1E" w14:textId="77777777" w:rsidR="009B68AA" w:rsidRPr="00C453DA" w:rsidRDefault="009B68AA" w:rsidP="009B68AA">
      <w:pPr>
        <w:pStyle w:val="ListParagraph"/>
        <w:numPr>
          <w:ilvl w:val="0"/>
          <w:numId w:val="30"/>
        </w:numPr>
        <w:spacing w:before="0" w:after="200" w:line="276" w:lineRule="auto"/>
        <w:rPr>
          <w:rFonts w:cstheme="minorHAnsi"/>
          <w:sz w:val="22"/>
          <w:szCs w:val="22"/>
        </w:rPr>
      </w:pPr>
      <w:r w:rsidRPr="00C453DA">
        <w:rPr>
          <w:rFonts w:cstheme="minorHAnsi"/>
          <w:sz w:val="22"/>
          <w:szCs w:val="22"/>
        </w:rPr>
        <w:t>Macroeconomic influences have impacted Business Expenditure on R&amp;D (BERD) eg. mining R&amp;D has decreased as the sector moves from an investment to a production phase, while businesses in the Professional, Scientific and Technical Services sector recorded the largest increase in R&amp;D expenditure in 2019-20 (up 19%), followed by Manufacturing (up 4%).</w:t>
      </w:r>
    </w:p>
    <w:p w14:paraId="4170DECA" w14:textId="77777777" w:rsidR="009B68AA" w:rsidRPr="00C453DA" w:rsidRDefault="009B68AA" w:rsidP="009B68AA">
      <w:pPr>
        <w:pStyle w:val="ListParagraph"/>
        <w:numPr>
          <w:ilvl w:val="0"/>
          <w:numId w:val="30"/>
        </w:numPr>
        <w:spacing w:before="0" w:after="200" w:line="276" w:lineRule="auto"/>
        <w:rPr>
          <w:rFonts w:cstheme="minorHAnsi"/>
          <w:sz w:val="22"/>
          <w:szCs w:val="22"/>
        </w:rPr>
      </w:pPr>
      <w:r w:rsidRPr="00C453DA">
        <w:rPr>
          <w:rFonts w:cstheme="minorHAnsi"/>
          <w:sz w:val="22"/>
          <w:szCs w:val="22"/>
        </w:rPr>
        <w:t>Australian Bureau of Statistics (ABS) data shows that Australia was able to increase its BERD levels despite the impacts of the COVID-19 pandemic. However, longer-term impacts of COVID-19 vary across sectors, with manufacturing likely to be more heavily impacted (as indicated by the Organisation for Economic Co-operation and Development (OECD)).</w:t>
      </w:r>
    </w:p>
    <w:p w14:paraId="221FC693" w14:textId="77777777" w:rsidR="009B68AA" w:rsidRPr="00C453DA" w:rsidRDefault="009B68AA" w:rsidP="009B68AA">
      <w:pPr>
        <w:pStyle w:val="ListParagraph"/>
        <w:numPr>
          <w:ilvl w:val="0"/>
          <w:numId w:val="30"/>
        </w:numPr>
        <w:spacing w:before="0" w:after="200" w:line="276" w:lineRule="auto"/>
        <w:rPr>
          <w:rFonts w:cstheme="minorHAnsi"/>
          <w:sz w:val="22"/>
          <w:szCs w:val="22"/>
        </w:rPr>
      </w:pPr>
      <w:r w:rsidRPr="00C453DA">
        <w:rPr>
          <w:rFonts w:cstheme="minorHAnsi"/>
          <w:sz w:val="22"/>
          <w:szCs w:val="22"/>
        </w:rPr>
        <w:t>It is too early to assess the impacts of the enhanced reforms to the R&amp;DTI. They were well received when announced and with ongoing improvements to administration, the program continues to influence businesses considering further investments in R&amp;D.</w:t>
      </w:r>
    </w:p>
    <w:p w14:paraId="3811AB0D" w14:textId="77777777" w:rsidR="009B68AA" w:rsidRDefault="009B68AA" w:rsidP="009B68AA">
      <w:pPr>
        <w:ind w:left="360"/>
        <w:rPr>
          <w:rFonts w:cstheme="minorHAnsi"/>
          <w:sz w:val="22"/>
          <w:szCs w:val="22"/>
        </w:rPr>
      </w:pPr>
      <w:r w:rsidRPr="00C453DA">
        <w:rPr>
          <w:rFonts w:cstheme="minorHAnsi"/>
          <w:sz w:val="22"/>
          <w:szCs w:val="22"/>
        </w:rPr>
        <w:t>Jade Hawkins/Brett Challans provided ATO insights on the R&amp;DTI:</w:t>
      </w:r>
    </w:p>
    <w:p w14:paraId="18DBEDAA" w14:textId="77777777" w:rsidR="009B68AA" w:rsidRPr="00C453DA" w:rsidRDefault="009B68AA" w:rsidP="009B68AA">
      <w:pPr>
        <w:pStyle w:val="ListParagraph"/>
        <w:numPr>
          <w:ilvl w:val="0"/>
          <w:numId w:val="33"/>
        </w:numPr>
        <w:spacing w:before="0" w:after="60" w:line="25" w:lineRule="atLeast"/>
        <w:contextualSpacing w:val="0"/>
        <w:rPr>
          <w:rFonts w:eastAsia="Times New Roman" w:cstheme="minorHAnsi"/>
          <w:bCs/>
          <w:sz w:val="22"/>
          <w:szCs w:val="22"/>
          <w:lang w:eastAsia="en-AU"/>
        </w:rPr>
      </w:pPr>
      <w:r w:rsidRPr="00C453DA">
        <w:rPr>
          <w:rFonts w:eastAsia="Times New Roman" w:cstheme="minorHAnsi"/>
          <w:bCs/>
          <w:sz w:val="22"/>
          <w:szCs w:val="22"/>
          <w:lang w:eastAsia="en-AU"/>
        </w:rPr>
        <w:t>In the last 18 months COVID has fundamentally changed Australia. A key component of the rebuild will be the flexible, creative solutions of innovative Australians who we want to encourage to utilise the R&amp;DTI program.</w:t>
      </w:r>
    </w:p>
    <w:p w14:paraId="4839415D" w14:textId="77777777" w:rsidR="009B68AA" w:rsidRPr="00C453DA" w:rsidRDefault="009B68AA" w:rsidP="009B68AA">
      <w:pPr>
        <w:pStyle w:val="ListParagraph"/>
        <w:numPr>
          <w:ilvl w:val="0"/>
          <w:numId w:val="33"/>
        </w:numPr>
        <w:spacing w:before="0" w:after="200" w:line="276" w:lineRule="auto"/>
        <w:rPr>
          <w:rFonts w:cstheme="minorHAnsi"/>
          <w:sz w:val="22"/>
          <w:szCs w:val="22"/>
        </w:rPr>
      </w:pPr>
      <w:r w:rsidRPr="00C453DA">
        <w:rPr>
          <w:rFonts w:cstheme="minorHAnsi"/>
          <w:sz w:val="22"/>
          <w:szCs w:val="22"/>
        </w:rPr>
        <w:t>Australia developed the black box flight recorder, the electronic pacemaker, polymer bank notes, the bionic ear (Cochlear implant), spray-on skin and even the ultrasound scanner. In thinking of past innovations, which of the 13,000 companies conducting research and development in Australia across a range of industries will be the next breakthrough, reminding us of the importance of the program.</w:t>
      </w:r>
    </w:p>
    <w:p w14:paraId="578D65E0" w14:textId="77777777" w:rsidR="009B68AA" w:rsidRPr="00C453DA" w:rsidRDefault="009B68AA" w:rsidP="009B68AA">
      <w:pPr>
        <w:pStyle w:val="ListParagraph"/>
        <w:numPr>
          <w:ilvl w:val="0"/>
          <w:numId w:val="33"/>
        </w:numPr>
        <w:spacing w:before="0" w:after="200" w:line="276" w:lineRule="auto"/>
        <w:rPr>
          <w:rFonts w:cstheme="minorHAnsi"/>
          <w:sz w:val="22"/>
          <w:szCs w:val="22"/>
        </w:rPr>
      </w:pPr>
      <w:r w:rsidRPr="00C453DA">
        <w:rPr>
          <w:rFonts w:cstheme="minorHAnsi"/>
          <w:sz w:val="22"/>
          <w:szCs w:val="22"/>
        </w:rPr>
        <w:lastRenderedPageBreak/>
        <w:t>A key impact of the R&amp;DTI relates to the support provided across all industry sectors and the benefit of refundable tax offsets providing key assistance to small and medium R&amp;D companies, including start-ups as they pursue and resolve the unknowns in their efforts to generate new knowledge.</w:t>
      </w:r>
    </w:p>
    <w:p w14:paraId="668A1B17" w14:textId="77777777" w:rsidR="009B68AA" w:rsidRPr="00C453DA" w:rsidRDefault="009B68AA" w:rsidP="009B68AA">
      <w:pPr>
        <w:pStyle w:val="ListParagraph"/>
        <w:numPr>
          <w:ilvl w:val="0"/>
          <w:numId w:val="33"/>
        </w:numPr>
        <w:spacing w:before="0" w:after="200" w:line="276" w:lineRule="auto"/>
        <w:rPr>
          <w:rFonts w:cstheme="minorHAnsi"/>
          <w:sz w:val="22"/>
          <w:szCs w:val="22"/>
        </w:rPr>
      </w:pPr>
      <w:r w:rsidRPr="00C453DA">
        <w:rPr>
          <w:rFonts w:cstheme="minorHAnsi"/>
          <w:sz w:val="22"/>
          <w:szCs w:val="22"/>
        </w:rPr>
        <w:t>In 2011-12, there were only 4,461 companies claiming the R&amp;DTI and in 2020-21, the ATO paid or applied offsets to over 13,000 companies.</w:t>
      </w:r>
    </w:p>
    <w:p w14:paraId="5B3E1D97" w14:textId="3075ACD4" w:rsidR="009B68AA" w:rsidRPr="00C453DA" w:rsidRDefault="009B68AA" w:rsidP="009B68AA">
      <w:pPr>
        <w:pStyle w:val="ListParagraph"/>
        <w:numPr>
          <w:ilvl w:val="0"/>
          <w:numId w:val="33"/>
        </w:numPr>
        <w:spacing w:before="0" w:after="200" w:line="276" w:lineRule="auto"/>
        <w:rPr>
          <w:rFonts w:cstheme="minorHAnsi"/>
          <w:sz w:val="22"/>
          <w:szCs w:val="22"/>
        </w:rPr>
      </w:pPr>
      <w:r w:rsidRPr="00C453DA">
        <w:rPr>
          <w:rFonts w:cstheme="minorHAnsi"/>
          <w:sz w:val="22"/>
          <w:szCs w:val="22"/>
        </w:rPr>
        <w:t>Program adminis</w:t>
      </w:r>
      <w:r w:rsidR="008346FF">
        <w:rPr>
          <w:rFonts w:cstheme="minorHAnsi"/>
          <w:sz w:val="22"/>
          <w:szCs w:val="22"/>
        </w:rPr>
        <w:t>tration has changed over time, t</w:t>
      </w:r>
      <w:r w:rsidRPr="00C453DA">
        <w:rPr>
          <w:rFonts w:cstheme="minorHAnsi"/>
          <w:sz w:val="22"/>
          <w:szCs w:val="22"/>
        </w:rPr>
        <w:t xml:space="preserve">he initial focus on education moved to education supplemented with compliance as the program matured.  </w:t>
      </w:r>
    </w:p>
    <w:p w14:paraId="79021AB2" w14:textId="77777777" w:rsidR="009B68AA" w:rsidRPr="00C453DA" w:rsidRDefault="009B68AA" w:rsidP="009B68AA">
      <w:pPr>
        <w:pStyle w:val="ListParagraph"/>
        <w:numPr>
          <w:ilvl w:val="0"/>
          <w:numId w:val="33"/>
        </w:numPr>
        <w:spacing w:before="0" w:after="200" w:line="276" w:lineRule="auto"/>
        <w:rPr>
          <w:rFonts w:cstheme="minorHAnsi"/>
          <w:sz w:val="22"/>
          <w:szCs w:val="22"/>
        </w:rPr>
      </w:pPr>
      <w:r w:rsidRPr="00C453DA">
        <w:rPr>
          <w:rFonts w:cstheme="minorHAnsi"/>
          <w:sz w:val="22"/>
          <w:szCs w:val="22"/>
        </w:rPr>
        <w:t>We receive feedback that those doing the wrong thing – companies involved in promoted schemes, phoenix activities and tax avoidance – should be removed from the program. We also need to assure Government and the Australian taxpaying community that, whilst we encourage companies accessing the program, we will not allow it to be undermined.</w:t>
      </w:r>
    </w:p>
    <w:p w14:paraId="60C70DA2" w14:textId="77777777" w:rsidR="009B68AA" w:rsidRPr="00C453DA" w:rsidRDefault="009B68AA" w:rsidP="009B68AA">
      <w:pPr>
        <w:pStyle w:val="ListParagraph"/>
        <w:numPr>
          <w:ilvl w:val="0"/>
          <w:numId w:val="33"/>
        </w:numPr>
        <w:spacing w:before="0" w:after="200" w:line="276" w:lineRule="auto"/>
        <w:rPr>
          <w:rFonts w:cstheme="minorHAnsi"/>
          <w:sz w:val="22"/>
          <w:szCs w:val="22"/>
        </w:rPr>
      </w:pPr>
      <w:r w:rsidRPr="00C453DA">
        <w:rPr>
          <w:rFonts w:cstheme="minorHAnsi"/>
          <w:sz w:val="22"/>
          <w:szCs w:val="22"/>
        </w:rPr>
        <w:t>In the year of the 10th anniversary, the ATO are pleased to announce a major update to its guidance products, with a major review of web content based on stakeholder feedback resulting in a significant piece of work to revamp the content and add new material that has been requested.</w:t>
      </w:r>
    </w:p>
    <w:p w14:paraId="4F62DA24" w14:textId="77777777" w:rsidR="009B68AA" w:rsidRPr="00C453DA" w:rsidRDefault="009B68AA" w:rsidP="009B68AA">
      <w:pPr>
        <w:pStyle w:val="ListParagraph"/>
        <w:numPr>
          <w:ilvl w:val="0"/>
          <w:numId w:val="33"/>
        </w:numPr>
        <w:spacing w:before="0" w:after="200" w:line="276" w:lineRule="auto"/>
        <w:rPr>
          <w:rFonts w:cstheme="minorHAnsi"/>
          <w:sz w:val="22"/>
          <w:szCs w:val="22"/>
        </w:rPr>
      </w:pPr>
      <w:r w:rsidRPr="00C453DA">
        <w:rPr>
          <w:rFonts w:cstheme="minorHAnsi"/>
          <w:sz w:val="22"/>
          <w:szCs w:val="22"/>
        </w:rPr>
        <w:t>The program has also experienced external scrutiny over the years, with the 2016 Ferris, Finkel and Fraser Review, legislative reform, Senate inquiries and the 2019 Australian Small Business and Family Enterprise Ombudsman (ASBFEO) Review. This year, there has been an Australian National Audit Office (ANAO) audit and a Board of Taxation review.</w:t>
      </w:r>
    </w:p>
    <w:p w14:paraId="1E576C33" w14:textId="77777777" w:rsidR="009B68AA" w:rsidRDefault="009B68AA" w:rsidP="009B68AA">
      <w:pPr>
        <w:pStyle w:val="ListParagraph"/>
        <w:numPr>
          <w:ilvl w:val="0"/>
          <w:numId w:val="33"/>
        </w:numPr>
        <w:spacing w:before="0" w:after="200" w:line="276" w:lineRule="auto"/>
        <w:rPr>
          <w:rFonts w:cstheme="minorHAnsi"/>
          <w:sz w:val="22"/>
          <w:szCs w:val="22"/>
        </w:rPr>
      </w:pPr>
      <w:r w:rsidRPr="00C453DA">
        <w:rPr>
          <w:rFonts w:cstheme="minorHAnsi"/>
          <w:sz w:val="22"/>
          <w:szCs w:val="22"/>
        </w:rPr>
        <w:t>Over the next 6 to 12 months, the ATO hopes you will see tangible improvements to the program, to make it easy, clear and cost effective.</w:t>
      </w:r>
    </w:p>
    <w:p w14:paraId="1E6C02EE" w14:textId="77777777" w:rsidR="00901E6B" w:rsidRPr="00C453DA" w:rsidRDefault="00901E6B" w:rsidP="00901E6B">
      <w:pPr>
        <w:pStyle w:val="ListParagraph"/>
        <w:spacing w:before="0" w:after="200" w:line="276" w:lineRule="auto"/>
        <w:rPr>
          <w:rFonts w:cstheme="minorHAnsi"/>
          <w:sz w:val="22"/>
          <w:szCs w:val="22"/>
        </w:rPr>
      </w:pPr>
    </w:p>
    <w:bookmarkEnd w:id="9"/>
    <w:bookmarkEnd w:id="10"/>
    <w:bookmarkEnd w:id="11"/>
    <w:bookmarkEnd w:id="12"/>
    <w:bookmarkEnd w:id="13"/>
    <w:bookmarkEnd w:id="14"/>
    <w:bookmarkEnd w:id="15"/>
    <w:bookmarkEnd w:id="16"/>
    <w:bookmarkEnd w:id="17"/>
    <w:p w14:paraId="782BDB74" w14:textId="77777777" w:rsidR="00177D26" w:rsidRPr="00177D26" w:rsidRDefault="009B68AA" w:rsidP="004D61D9">
      <w:pPr>
        <w:pStyle w:val="ListParagraph"/>
        <w:numPr>
          <w:ilvl w:val="0"/>
          <w:numId w:val="45"/>
        </w:numPr>
        <w:spacing w:before="60" w:after="0" w:line="25" w:lineRule="atLeast"/>
        <w:rPr>
          <w:rFonts w:eastAsia="Times New Roman" w:cstheme="minorHAnsi"/>
          <w:sz w:val="22"/>
          <w:szCs w:val="22"/>
          <w:lang w:eastAsia="en-AU"/>
        </w:rPr>
      </w:pPr>
      <w:r w:rsidRPr="00177D26">
        <w:rPr>
          <w:rFonts w:asciiTheme="majorHAnsi" w:eastAsia="Times New Roman" w:hAnsiTheme="majorHAnsi" w:cstheme="majorBidi"/>
          <w:b/>
          <w:color w:val="212A4C" w:themeColor="text2"/>
          <w:sz w:val="28"/>
          <w:szCs w:val="26"/>
          <w:lang w:eastAsia="en-AU"/>
        </w:rPr>
        <w:t>Program Management</w:t>
      </w:r>
      <w:r w:rsidRPr="00177D26">
        <w:rPr>
          <w:rFonts w:eastAsia="Times New Roman" w:cstheme="minorHAnsi"/>
          <w:b/>
          <w:sz w:val="22"/>
          <w:szCs w:val="22"/>
          <w:lang w:eastAsia="en-AU"/>
        </w:rPr>
        <w:t xml:space="preserve"> </w:t>
      </w:r>
    </w:p>
    <w:p w14:paraId="1794114E" w14:textId="77777777" w:rsidR="00177D26" w:rsidRDefault="00177D26" w:rsidP="00177D26">
      <w:pPr>
        <w:pStyle w:val="ListParagraph"/>
        <w:spacing w:before="60" w:after="0" w:line="25" w:lineRule="atLeast"/>
        <w:rPr>
          <w:rFonts w:cstheme="minorHAnsi"/>
          <w:bCs/>
          <w:sz w:val="22"/>
          <w:szCs w:val="22"/>
        </w:rPr>
      </w:pPr>
    </w:p>
    <w:p w14:paraId="69DAA546" w14:textId="1BF2FAA0" w:rsidR="009B68AA" w:rsidRPr="00177D26" w:rsidRDefault="009B68AA" w:rsidP="00177D26">
      <w:pPr>
        <w:pStyle w:val="ListParagraph"/>
        <w:spacing w:before="60" w:after="0" w:line="25" w:lineRule="atLeast"/>
        <w:rPr>
          <w:rFonts w:eastAsia="Times New Roman" w:cstheme="minorHAnsi"/>
          <w:sz w:val="22"/>
          <w:szCs w:val="22"/>
          <w:lang w:eastAsia="en-AU"/>
        </w:rPr>
      </w:pPr>
      <w:r w:rsidRPr="00177D26">
        <w:rPr>
          <w:rFonts w:eastAsia="Times New Roman" w:cstheme="minorHAnsi"/>
          <w:sz w:val="22"/>
          <w:szCs w:val="22"/>
          <w:lang w:eastAsia="en-AU"/>
        </w:rPr>
        <w:t>Program performance data was presented by Louise Brian (AusIndustry) and Brett Challans</w:t>
      </w:r>
      <w:r w:rsidR="00177D26">
        <w:rPr>
          <w:rFonts w:eastAsia="Times New Roman" w:cstheme="minorHAnsi"/>
          <w:sz w:val="22"/>
          <w:szCs w:val="22"/>
          <w:lang w:eastAsia="en-AU"/>
        </w:rPr>
        <w:t xml:space="preserve"> (ATO)</w:t>
      </w:r>
      <w:r w:rsidR="00177D26" w:rsidRPr="00177D26">
        <w:rPr>
          <w:rFonts w:eastAsia="Times New Roman" w:cstheme="minorHAnsi"/>
          <w:sz w:val="22"/>
          <w:szCs w:val="22"/>
          <w:lang w:eastAsia="en-AU"/>
        </w:rPr>
        <w:t>:</w:t>
      </w:r>
    </w:p>
    <w:p w14:paraId="24C48F33" w14:textId="77777777" w:rsidR="008346FF" w:rsidRDefault="008346FF" w:rsidP="008346FF">
      <w:pPr>
        <w:pStyle w:val="ListParagraph"/>
        <w:spacing w:before="0" w:after="0" w:line="276" w:lineRule="auto"/>
        <w:rPr>
          <w:rFonts w:eastAsia="Times New Roman" w:cstheme="minorHAnsi"/>
          <w:sz w:val="22"/>
          <w:szCs w:val="22"/>
          <w:lang w:eastAsia="en-AU"/>
        </w:rPr>
      </w:pPr>
    </w:p>
    <w:p w14:paraId="04034B6B" w14:textId="77777777" w:rsidR="009B68AA" w:rsidRPr="00C453DA" w:rsidRDefault="009B68AA" w:rsidP="008346FF">
      <w:pPr>
        <w:pStyle w:val="ListParagraph"/>
        <w:spacing w:before="0" w:after="0" w:line="276" w:lineRule="auto"/>
        <w:rPr>
          <w:rFonts w:eastAsia="Times New Roman" w:cstheme="minorHAnsi"/>
          <w:sz w:val="22"/>
          <w:szCs w:val="22"/>
          <w:lang w:eastAsia="en-AU"/>
        </w:rPr>
      </w:pPr>
      <w:r w:rsidRPr="00C453DA">
        <w:rPr>
          <w:rFonts w:eastAsia="Times New Roman" w:cstheme="minorHAnsi"/>
          <w:sz w:val="22"/>
          <w:szCs w:val="22"/>
          <w:lang w:eastAsia="en-AU"/>
        </w:rPr>
        <w:t>AusIndustry</w:t>
      </w:r>
    </w:p>
    <w:p w14:paraId="0D710B4F" w14:textId="77777777" w:rsidR="009B68AA" w:rsidRPr="00C453DA" w:rsidRDefault="009B68AA" w:rsidP="008346FF">
      <w:pPr>
        <w:pStyle w:val="ListParagraph"/>
        <w:numPr>
          <w:ilvl w:val="0"/>
          <w:numId w:val="33"/>
        </w:numPr>
        <w:spacing w:before="0" w:after="0" w:line="276" w:lineRule="auto"/>
        <w:rPr>
          <w:rFonts w:eastAsia="Times New Roman" w:cstheme="minorHAnsi"/>
          <w:sz w:val="22"/>
          <w:szCs w:val="22"/>
          <w:lang w:eastAsia="en-AU"/>
        </w:rPr>
      </w:pPr>
      <w:r w:rsidRPr="00C453DA">
        <w:rPr>
          <w:rFonts w:eastAsia="Times New Roman" w:cstheme="minorHAnsi"/>
          <w:sz w:val="22"/>
          <w:szCs w:val="22"/>
          <w:lang w:eastAsia="en-AU"/>
        </w:rPr>
        <w:t>There were 12,400 registrations and a total R&amp;D expenditure of $12.7 billion during the 2019/20 income period.</w:t>
      </w:r>
    </w:p>
    <w:p w14:paraId="30749F73" w14:textId="77777777" w:rsidR="008346FF" w:rsidRDefault="009B68AA" w:rsidP="008346FF">
      <w:pPr>
        <w:pStyle w:val="ListParagraph"/>
        <w:numPr>
          <w:ilvl w:val="0"/>
          <w:numId w:val="33"/>
        </w:numPr>
        <w:spacing w:before="0" w:after="0" w:line="276" w:lineRule="auto"/>
        <w:rPr>
          <w:rFonts w:eastAsia="Times New Roman" w:cstheme="minorHAnsi"/>
          <w:sz w:val="22"/>
          <w:szCs w:val="22"/>
          <w:lang w:eastAsia="en-AU"/>
        </w:rPr>
      </w:pPr>
      <w:r w:rsidRPr="008346FF">
        <w:rPr>
          <w:rFonts w:eastAsia="Times New Roman" w:cstheme="minorHAnsi"/>
          <w:sz w:val="22"/>
          <w:szCs w:val="22"/>
          <w:lang w:eastAsia="en-AU"/>
        </w:rPr>
        <w:t>SMEs account for the majority of registrations (88%) and slightly less than h</w:t>
      </w:r>
      <w:r w:rsidR="008346FF">
        <w:rPr>
          <w:rFonts w:eastAsia="Times New Roman" w:cstheme="minorHAnsi"/>
          <w:sz w:val="22"/>
          <w:szCs w:val="22"/>
          <w:lang w:eastAsia="en-AU"/>
        </w:rPr>
        <w:t>alf (49.0%) of R&amp;D expenditure.</w:t>
      </w:r>
    </w:p>
    <w:p w14:paraId="44CB9B75" w14:textId="0515C67D" w:rsidR="009B68AA" w:rsidRPr="008346FF" w:rsidRDefault="009B68AA" w:rsidP="008346FF">
      <w:pPr>
        <w:pStyle w:val="ListParagraph"/>
        <w:numPr>
          <w:ilvl w:val="0"/>
          <w:numId w:val="33"/>
        </w:numPr>
        <w:spacing w:before="0" w:after="0" w:line="276" w:lineRule="auto"/>
        <w:rPr>
          <w:rFonts w:eastAsia="Times New Roman" w:cstheme="minorHAnsi"/>
          <w:sz w:val="22"/>
          <w:szCs w:val="22"/>
          <w:lang w:eastAsia="en-AU"/>
        </w:rPr>
      </w:pPr>
      <w:r w:rsidRPr="008346FF">
        <w:rPr>
          <w:rFonts w:eastAsia="Times New Roman" w:cstheme="minorHAnsi"/>
          <w:sz w:val="22"/>
          <w:szCs w:val="22"/>
          <w:lang w:eastAsia="en-AU"/>
        </w:rPr>
        <w:t>Large companies comprise only 12% of registrations but 51.2% of R&amp;D expenditure.</w:t>
      </w:r>
    </w:p>
    <w:p w14:paraId="5217B577" w14:textId="2F6C565E" w:rsidR="009B68AA" w:rsidRPr="00C453DA" w:rsidRDefault="009B68AA" w:rsidP="008346FF">
      <w:pPr>
        <w:pStyle w:val="ListParagraph"/>
        <w:numPr>
          <w:ilvl w:val="0"/>
          <w:numId w:val="33"/>
        </w:numPr>
        <w:spacing w:before="0" w:after="0" w:line="276" w:lineRule="auto"/>
        <w:rPr>
          <w:rFonts w:eastAsia="Times New Roman" w:cstheme="minorHAnsi"/>
          <w:sz w:val="22"/>
          <w:szCs w:val="22"/>
          <w:lang w:eastAsia="en-AU"/>
        </w:rPr>
      </w:pPr>
      <w:r w:rsidRPr="008346FF">
        <w:rPr>
          <w:rFonts w:eastAsia="Times New Roman" w:cstheme="minorHAnsi"/>
          <w:sz w:val="22"/>
          <w:szCs w:val="22"/>
          <w:lang w:eastAsia="en-AU"/>
        </w:rPr>
        <w:t>The top three sectors by registrations for the 2019/20 income period are Services (58% of registrations and 53% of R&amp;D expenditure), Manufacturing (30% of registrations and 30% of R&amp;D expenditure) and Agriculture (only 4% of registrations but 4% of R&amp;D expenditure)</w:t>
      </w:r>
      <w:r w:rsidR="008346FF">
        <w:rPr>
          <w:rFonts w:eastAsia="Times New Roman" w:cstheme="minorHAnsi"/>
          <w:sz w:val="22"/>
          <w:szCs w:val="22"/>
          <w:lang w:eastAsia="en-AU"/>
        </w:rPr>
        <w:t>.</w:t>
      </w:r>
    </w:p>
    <w:p w14:paraId="72996786" w14:textId="77777777" w:rsidR="009B68AA" w:rsidRPr="00C453DA" w:rsidRDefault="009B68AA" w:rsidP="008346FF">
      <w:pPr>
        <w:pStyle w:val="ListParagraph"/>
        <w:numPr>
          <w:ilvl w:val="0"/>
          <w:numId w:val="33"/>
        </w:numPr>
        <w:spacing w:before="0" w:after="0" w:line="276" w:lineRule="auto"/>
        <w:rPr>
          <w:rFonts w:eastAsia="Times New Roman" w:cstheme="minorHAnsi"/>
          <w:sz w:val="22"/>
          <w:szCs w:val="22"/>
          <w:lang w:eastAsia="en-AU"/>
        </w:rPr>
      </w:pPr>
      <w:r w:rsidRPr="008346FF">
        <w:rPr>
          <w:rFonts w:eastAsia="Times New Roman" w:cstheme="minorHAnsi"/>
          <w:sz w:val="22"/>
          <w:szCs w:val="22"/>
          <w:lang w:eastAsia="en-AU"/>
        </w:rPr>
        <w:t>State-based data was presented relevant to the location of each meeting.</w:t>
      </w:r>
    </w:p>
    <w:p w14:paraId="022582F5" w14:textId="77777777" w:rsidR="009B68AA" w:rsidRDefault="009B68AA" w:rsidP="008346FF">
      <w:pPr>
        <w:pStyle w:val="ListParagraph"/>
        <w:numPr>
          <w:ilvl w:val="0"/>
          <w:numId w:val="33"/>
        </w:numPr>
        <w:spacing w:before="0" w:after="0" w:line="276" w:lineRule="auto"/>
        <w:rPr>
          <w:rFonts w:eastAsia="Times New Roman" w:cstheme="minorHAnsi"/>
          <w:sz w:val="22"/>
          <w:szCs w:val="22"/>
          <w:lang w:eastAsia="en-AU"/>
        </w:rPr>
      </w:pPr>
      <w:r w:rsidRPr="008346FF">
        <w:rPr>
          <w:rFonts w:eastAsia="Times New Roman" w:cstheme="minorHAnsi"/>
          <w:sz w:val="22"/>
          <w:szCs w:val="22"/>
          <w:lang w:eastAsia="en-AU"/>
        </w:rPr>
        <w:t>A comparison based on data from the Business Longitudinal Analysis Data Environment (BLADE) illustrated the higher relative performance of R&amp;DTI participating firms compared to a cohort of firms who did not participate in the program.</w:t>
      </w:r>
    </w:p>
    <w:p w14:paraId="38E78420" w14:textId="77777777" w:rsidR="008346FF" w:rsidRPr="00C453DA" w:rsidRDefault="008346FF" w:rsidP="008346FF">
      <w:pPr>
        <w:pStyle w:val="ListParagraph"/>
        <w:spacing w:before="0" w:after="0" w:line="276" w:lineRule="auto"/>
        <w:rPr>
          <w:rFonts w:eastAsia="Times New Roman" w:cstheme="minorHAnsi"/>
          <w:sz w:val="22"/>
          <w:szCs w:val="22"/>
          <w:lang w:eastAsia="en-AU"/>
        </w:rPr>
      </w:pPr>
    </w:p>
    <w:p w14:paraId="741DAD78" w14:textId="77777777" w:rsidR="009B68AA" w:rsidRPr="00C453DA" w:rsidRDefault="009B68AA" w:rsidP="008346FF">
      <w:pPr>
        <w:pStyle w:val="ListParagraph"/>
        <w:spacing w:before="0" w:after="200" w:line="276" w:lineRule="auto"/>
        <w:rPr>
          <w:rFonts w:eastAsia="Times New Roman" w:cstheme="minorHAnsi"/>
          <w:sz w:val="22"/>
          <w:szCs w:val="22"/>
          <w:lang w:eastAsia="en-AU"/>
        </w:rPr>
      </w:pPr>
      <w:r w:rsidRPr="00C453DA">
        <w:rPr>
          <w:rFonts w:eastAsia="Times New Roman" w:cstheme="minorHAnsi"/>
          <w:sz w:val="22"/>
          <w:szCs w:val="22"/>
          <w:lang w:eastAsia="en-AU"/>
        </w:rPr>
        <w:t>ATO</w:t>
      </w:r>
    </w:p>
    <w:p w14:paraId="3194C4D7" w14:textId="77777777" w:rsidR="009B68AA" w:rsidRPr="008346FF" w:rsidRDefault="009B68AA" w:rsidP="008346FF">
      <w:pPr>
        <w:pStyle w:val="ListParagraph"/>
        <w:numPr>
          <w:ilvl w:val="0"/>
          <w:numId w:val="33"/>
        </w:numPr>
        <w:spacing w:before="0" w:after="0" w:line="276" w:lineRule="auto"/>
        <w:rPr>
          <w:rFonts w:eastAsia="Times New Roman" w:cstheme="minorHAnsi"/>
          <w:sz w:val="22"/>
          <w:szCs w:val="22"/>
          <w:lang w:eastAsia="en-AU"/>
        </w:rPr>
      </w:pPr>
      <w:r w:rsidRPr="008346FF">
        <w:rPr>
          <w:rFonts w:eastAsia="Times New Roman" w:cstheme="minorHAnsi"/>
          <w:sz w:val="22"/>
          <w:szCs w:val="22"/>
          <w:lang w:eastAsia="en-AU"/>
        </w:rPr>
        <w:t>The ATO presented data from the 2020-21 Commissioner of Taxation Annual Report which showed the number of offsets and claims paid or applied in the 2020-21 financial year.</w:t>
      </w:r>
    </w:p>
    <w:p w14:paraId="33503A68" w14:textId="77777777" w:rsidR="009B68AA" w:rsidRPr="008346FF" w:rsidRDefault="009B68AA" w:rsidP="008346FF">
      <w:pPr>
        <w:pStyle w:val="ListParagraph"/>
        <w:numPr>
          <w:ilvl w:val="0"/>
          <w:numId w:val="33"/>
        </w:numPr>
        <w:spacing w:before="0" w:after="0" w:line="276" w:lineRule="auto"/>
        <w:rPr>
          <w:rFonts w:eastAsia="Times New Roman" w:cstheme="minorHAnsi"/>
          <w:sz w:val="22"/>
          <w:szCs w:val="22"/>
          <w:lang w:eastAsia="en-AU"/>
        </w:rPr>
      </w:pPr>
      <w:r w:rsidRPr="008346FF">
        <w:rPr>
          <w:rFonts w:eastAsia="Times New Roman" w:cstheme="minorHAnsi"/>
          <w:sz w:val="22"/>
          <w:szCs w:val="22"/>
          <w:lang w:eastAsia="en-AU"/>
        </w:rPr>
        <w:t>There has been an increase of 17.4% of refundable offsets paid in 2020-21 from 2019-20, with an increase of 16.2% of actual claims.</w:t>
      </w:r>
    </w:p>
    <w:p w14:paraId="27DD7A81" w14:textId="77777777" w:rsidR="009B68AA" w:rsidRPr="008346FF" w:rsidRDefault="009B68AA" w:rsidP="008346FF">
      <w:pPr>
        <w:pStyle w:val="ListParagraph"/>
        <w:numPr>
          <w:ilvl w:val="0"/>
          <w:numId w:val="33"/>
        </w:numPr>
        <w:spacing w:before="0" w:after="0" w:line="276" w:lineRule="auto"/>
        <w:rPr>
          <w:rFonts w:eastAsia="Times New Roman" w:cstheme="minorHAnsi"/>
          <w:sz w:val="22"/>
          <w:szCs w:val="22"/>
          <w:lang w:eastAsia="en-AU"/>
        </w:rPr>
      </w:pPr>
      <w:r w:rsidRPr="008346FF">
        <w:rPr>
          <w:rFonts w:eastAsia="Times New Roman" w:cstheme="minorHAnsi"/>
          <w:sz w:val="22"/>
          <w:szCs w:val="22"/>
          <w:lang w:eastAsia="en-AU"/>
        </w:rPr>
        <w:t xml:space="preserve">For the non-refundable offset, there was an increase of 4.8% of offsets applied only a 0.1% increase in claims. </w:t>
      </w:r>
    </w:p>
    <w:p w14:paraId="76B16EB7" w14:textId="77777777" w:rsidR="009B68AA" w:rsidRPr="00C453DA" w:rsidRDefault="009B68AA" w:rsidP="008346FF">
      <w:pPr>
        <w:pStyle w:val="ListParagraph"/>
        <w:numPr>
          <w:ilvl w:val="0"/>
          <w:numId w:val="33"/>
        </w:numPr>
        <w:spacing w:before="0" w:after="0" w:line="276" w:lineRule="auto"/>
        <w:rPr>
          <w:rFonts w:cstheme="minorHAnsi"/>
          <w:sz w:val="22"/>
          <w:szCs w:val="22"/>
        </w:rPr>
      </w:pPr>
      <w:r w:rsidRPr="008346FF">
        <w:rPr>
          <w:rFonts w:eastAsia="Times New Roman" w:cstheme="minorHAnsi"/>
          <w:sz w:val="22"/>
          <w:szCs w:val="22"/>
          <w:lang w:eastAsia="en-AU"/>
        </w:rPr>
        <w:t>Total claims have increased by 11.4% for offsets paid or applied and 14.3% increase in claims</w:t>
      </w:r>
      <w:r w:rsidRPr="00C453DA">
        <w:rPr>
          <w:rFonts w:cstheme="minorHAnsi"/>
          <w:sz w:val="22"/>
          <w:szCs w:val="22"/>
          <w:lang w:val="en-US"/>
        </w:rPr>
        <w:t>.</w:t>
      </w:r>
    </w:p>
    <w:p w14:paraId="17CAA88C" w14:textId="77777777" w:rsidR="00177D26" w:rsidRDefault="00177D26">
      <w:pPr>
        <w:rPr>
          <w:rFonts w:eastAsia="Times New Roman" w:cstheme="minorHAnsi"/>
          <w:sz w:val="22"/>
          <w:szCs w:val="22"/>
          <w:lang w:eastAsia="en-AU"/>
        </w:rPr>
      </w:pPr>
      <w:r>
        <w:rPr>
          <w:rFonts w:eastAsia="Times New Roman" w:cstheme="minorHAnsi"/>
          <w:sz w:val="22"/>
          <w:szCs w:val="22"/>
          <w:lang w:eastAsia="en-AU"/>
        </w:rPr>
        <w:br w:type="page"/>
      </w:r>
    </w:p>
    <w:p w14:paraId="0FF16A1B" w14:textId="3B85F2C2" w:rsidR="009B68AA" w:rsidRDefault="009B68AA" w:rsidP="009B68AA">
      <w:pPr>
        <w:spacing w:after="0"/>
        <w:rPr>
          <w:rFonts w:eastAsia="Times New Roman" w:cstheme="minorHAnsi"/>
          <w:sz w:val="22"/>
          <w:szCs w:val="22"/>
          <w:lang w:eastAsia="en-AU"/>
        </w:rPr>
      </w:pPr>
      <w:r w:rsidRPr="00C453DA">
        <w:rPr>
          <w:rFonts w:eastAsia="Times New Roman" w:cstheme="minorHAnsi"/>
          <w:sz w:val="22"/>
          <w:szCs w:val="22"/>
          <w:lang w:eastAsia="en-AU"/>
        </w:rPr>
        <w:t>Keelie Williams (AusIndustry) presented on the R&amp;DTI Customer Portal</w:t>
      </w:r>
      <w:r w:rsidR="001C10C5">
        <w:rPr>
          <w:rFonts w:eastAsia="Times New Roman" w:cstheme="minorHAnsi"/>
          <w:sz w:val="22"/>
          <w:szCs w:val="22"/>
          <w:lang w:eastAsia="en-AU"/>
        </w:rPr>
        <w:t>:</w:t>
      </w:r>
    </w:p>
    <w:p w14:paraId="440CD64C" w14:textId="77777777" w:rsidR="001C10C5" w:rsidRPr="00C453DA" w:rsidRDefault="001C10C5" w:rsidP="001C10C5">
      <w:pPr>
        <w:spacing w:before="0" w:after="0"/>
        <w:rPr>
          <w:rFonts w:eastAsia="Times New Roman" w:cstheme="minorHAnsi"/>
          <w:sz w:val="22"/>
          <w:szCs w:val="22"/>
          <w:lang w:eastAsia="en-AU"/>
        </w:rPr>
      </w:pPr>
    </w:p>
    <w:p w14:paraId="3B803898" w14:textId="77777777" w:rsidR="009B68AA" w:rsidRPr="00C453DA" w:rsidRDefault="009B68AA" w:rsidP="009B68AA">
      <w:pPr>
        <w:pStyle w:val="ListParagraph"/>
        <w:numPr>
          <w:ilvl w:val="0"/>
          <w:numId w:val="34"/>
        </w:numPr>
        <w:spacing w:before="0" w:after="200" w:line="276" w:lineRule="auto"/>
        <w:rPr>
          <w:rFonts w:cstheme="minorHAnsi"/>
          <w:sz w:val="22"/>
          <w:szCs w:val="22"/>
        </w:rPr>
      </w:pPr>
      <w:r w:rsidRPr="00C453DA">
        <w:rPr>
          <w:rFonts w:cstheme="minorHAnsi"/>
          <w:sz w:val="22"/>
          <w:szCs w:val="22"/>
        </w:rPr>
        <w:t>Since the portal went live on 5 July we have received a little over 3,800 applications.</w:t>
      </w:r>
    </w:p>
    <w:p w14:paraId="4107EE32" w14:textId="77777777" w:rsidR="009B68AA" w:rsidRPr="00C453DA" w:rsidRDefault="009B68AA" w:rsidP="009B68AA">
      <w:pPr>
        <w:pStyle w:val="ListParagraph"/>
        <w:numPr>
          <w:ilvl w:val="0"/>
          <w:numId w:val="34"/>
        </w:numPr>
        <w:spacing w:before="0" w:after="200" w:line="276" w:lineRule="auto"/>
        <w:rPr>
          <w:rFonts w:cstheme="minorHAnsi"/>
          <w:sz w:val="22"/>
          <w:szCs w:val="22"/>
        </w:rPr>
      </w:pPr>
      <w:r w:rsidRPr="00C453DA">
        <w:rPr>
          <w:rFonts w:cstheme="minorHAnsi"/>
          <w:sz w:val="22"/>
          <w:szCs w:val="22"/>
        </w:rPr>
        <w:t>The customer portal allows us to see how much time is spent on each section of the application. The most time is spent on completing projects and activities. We understand that not all applicants work directly in the portal, but for those that do, early indications are that time spent in the portal is lower than the time taken for completing the PDF registration form as advised in a customer survey conducted last year. Our portal use data will be supplemented by a forthcoming user survey.</w:t>
      </w:r>
    </w:p>
    <w:p w14:paraId="6849B8DF" w14:textId="77777777" w:rsidR="009B68AA" w:rsidRPr="00C453DA" w:rsidRDefault="009B68AA" w:rsidP="009B68AA">
      <w:pPr>
        <w:pStyle w:val="ListParagraph"/>
        <w:numPr>
          <w:ilvl w:val="0"/>
          <w:numId w:val="34"/>
        </w:numPr>
        <w:spacing w:before="0" w:after="200" w:line="276" w:lineRule="auto"/>
        <w:rPr>
          <w:rFonts w:cstheme="minorHAnsi"/>
          <w:sz w:val="22"/>
          <w:szCs w:val="22"/>
        </w:rPr>
      </w:pPr>
      <w:r w:rsidRPr="00C453DA">
        <w:rPr>
          <w:rFonts w:cstheme="minorHAnsi"/>
          <w:sz w:val="22"/>
          <w:szCs w:val="22"/>
        </w:rPr>
        <w:t>Some technical issues have been identified and the following is suggested:</w:t>
      </w:r>
    </w:p>
    <w:p w14:paraId="6F463281" w14:textId="77777777" w:rsidR="009B68AA" w:rsidRPr="00C453DA" w:rsidRDefault="009B68AA" w:rsidP="009B68AA">
      <w:pPr>
        <w:pStyle w:val="ListParagraph"/>
        <w:numPr>
          <w:ilvl w:val="1"/>
          <w:numId w:val="34"/>
        </w:numPr>
        <w:spacing w:before="0" w:after="200" w:line="276" w:lineRule="auto"/>
        <w:rPr>
          <w:rFonts w:cstheme="minorHAnsi"/>
          <w:sz w:val="22"/>
          <w:szCs w:val="22"/>
        </w:rPr>
      </w:pPr>
      <w:r w:rsidRPr="00C453DA">
        <w:rPr>
          <w:rFonts w:cstheme="minorHAnsi"/>
          <w:sz w:val="22"/>
          <w:szCs w:val="22"/>
        </w:rPr>
        <w:t>Companies need to make sure they submit for the correct income year. Non-standard balancers need to be particularly careful, as submitting for the wrong income year cannot be fixed in the system.</w:t>
      </w:r>
    </w:p>
    <w:p w14:paraId="730C637D" w14:textId="77777777" w:rsidR="009B68AA" w:rsidRPr="00C453DA" w:rsidRDefault="009B68AA" w:rsidP="009B68AA">
      <w:pPr>
        <w:pStyle w:val="ListParagraph"/>
        <w:numPr>
          <w:ilvl w:val="1"/>
          <w:numId w:val="34"/>
        </w:numPr>
        <w:spacing w:before="0" w:after="200" w:line="276" w:lineRule="auto"/>
        <w:rPr>
          <w:rFonts w:cstheme="minorHAnsi"/>
          <w:sz w:val="22"/>
          <w:szCs w:val="22"/>
        </w:rPr>
      </w:pPr>
      <w:r w:rsidRPr="00C453DA">
        <w:rPr>
          <w:rFonts w:cstheme="minorHAnsi"/>
          <w:sz w:val="22"/>
          <w:szCs w:val="22"/>
        </w:rPr>
        <w:t xml:space="preserve">The portal doesn’t auto-save – companies need to save their work before leaving their computers inactive. </w:t>
      </w:r>
    </w:p>
    <w:p w14:paraId="3D51B084" w14:textId="77777777" w:rsidR="009B68AA" w:rsidRPr="00C453DA" w:rsidRDefault="009B68AA" w:rsidP="009B68AA">
      <w:pPr>
        <w:pStyle w:val="ListParagraph"/>
        <w:numPr>
          <w:ilvl w:val="1"/>
          <w:numId w:val="34"/>
        </w:numPr>
        <w:spacing w:before="0" w:after="200" w:line="276" w:lineRule="auto"/>
        <w:rPr>
          <w:rFonts w:eastAsia="Times New Roman" w:cstheme="minorHAnsi"/>
          <w:b/>
          <w:sz w:val="22"/>
          <w:szCs w:val="22"/>
          <w:lang w:eastAsia="en-AU"/>
        </w:rPr>
      </w:pPr>
      <w:r w:rsidRPr="00C453DA">
        <w:rPr>
          <w:rFonts w:cstheme="minorHAnsi"/>
          <w:sz w:val="22"/>
          <w:szCs w:val="22"/>
        </w:rPr>
        <w:t>Portal performance for submissions was monitored during October and didn’t meet expectations. Enhancements are underway.</w:t>
      </w:r>
    </w:p>
    <w:p w14:paraId="01ED8668" w14:textId="6A3A2D63" w:rsidR="009B68AA" w:rsidRPr="00C453DA" w:rsidRDefault="009B68AA" w:rsidP="009B68AA">
      <w:pPr>
        <w:pStyle w:val="ListParagraph"/>
        <w:numPr>
          <w:ilvl w:val="0"/>
          <w:numId w:val="34"/>
        </w:numPr>
        <w:spacing w:before="0" w:after="200" w:line="276" w:lineRule="auto"/>
        <w:rPr>
          <w:rFonts w:cstheme="minorHAnsi"/>
          <w:sz w:val="22"/>
          <w:szCs w:val="22"/>
        </w:rPr>
      </w:pPr>
      <w:r w:rsidRPr="00C453DA">
        <w:rPr>
          <w:rFonts w:cstheme="minorHAnsi"/>
          <w:sz w:val="22"/>
          <w:szCs w:val="22"/>
        </w:rPr>
        <w:t>There is a new section on our portal support page on business.gov.au to share information on common advice/errors</w:t>
      </w:r>
      <w:r w:rsidR="008346FF">
        <w:rPr>
          <w:rFonts w:cstheme="minorHAnsi"/>
          <w:sz w:val="22"/>
          <w:szCs w:val="22"/>
        </w:rPr>
        <w:t>.</w:t>
      </w:r>
    </w:p>
    <w:p w14:paraId="1049FE14" w14:textId="77777777" w:rsidR="009B68AA" w:rsidRPr="00C453DA" w:rsidRDefault="009B68AA" w:rsidP="009B68AA">
      <w:pPr>
        <w:pStyle w:val="ListParagraph"/>
        <w:numPr>
          <w:ilvl w:val="0"/>
          <w:numId w:val="34"/>
        </w:numPr>
        <w:spacing w:before="0" w:after="200" w:line="276" w:lineRule="auto"/>
        <w:rPr>
          <w:rFonts w:eastAsia="Times New Roman" w:cstheme="minorHAnsi"/>
          <w:b/>
          <w:sz w:val="22"/>
          <w:szCs w:val="22"/>
          <w:lang w:eastAsia="en-AU"/>
        </w:rPr>
      </w:pPr>
      <w:r w:rsidRPr="00C453DA">
        <w:rPr>
          <w:rFonts w:cstheme="minorHAnsi"/>
          <w:sz w:val="22"/>
          <w:szCs w:val="22"/>
        </w:rPr>
        <w:t>Portal updates occurred over the weekend of 6/7 November 2021 including:</w:t>
      </w:r>
    </w:p>
    <w:p w14:paraId="01A504E3" w14:textId="77777777" w:rsidR="009B68AA" w:rsidRPr="00C453DA" w:rsidRDefault="009B68AA" w:rsidP="009B68AA">
      <w:pPr>
        <w:pStyle w:val="ListParagraph"/>
        <w:numPr>
          <w:ilvl w:val="1"/>
          <w:numId w:val="34"/>
        </w:numPr>
        <w:spacing w:before="0" w:after="200" w:line="276" w:lineRule="auto"/>
        <w:rPr>
          <w:rFonts w:cstheme="minorHAnsi"/>
          <w:sz w:val="22"/>
          <w:szCs w:val="22"/>
        </w:rPr>
      </w:pPr>
      <w:r w:rsidRPr="00C453DA">
        <w:rPr>
          <w:rFonts w:cstheme="minorHAnsi"/>
          <w:sz w:val="22"/>
          <w:szCs w:val="22"/>
        </w:rPr>
        <w:t xml:space="preserve">Tax payer alert warning messages have been toned down </w:t>
      </w:r>
    </w:p>
    <w:p w14:paraId="32B924C0" w14:textId="77777777" w:rsidR="009B68AA" w:rsidRPr="00C453DA" w:rsidRDefault="009B68AA" w:rsidP="009B68AA">
      <w:pPr>
        <w:pStyle w:val="ListParagraph"/>
        <w:numPr>
          <w:ilvl w:val="1"/>
          <w:numId w:val="34"/>
        </w:numPr>
        <w:spacing w:before="0" w:after="200" w:line="276" w:lineRule="auto"/>
        <w:rPr>
          <w:rFonts w:cstheme="minorHAnsi"/>
          <w:sz w:val="22"/>
          <w:szCs w:val="22"/>
        </w:rPr>
      </w:pPr>
      <w:r w:rsidRPr="00C453DA">
        <w:rPr>
          <w:rFonts w:cstheme="minorHAnsi"/>
          <w:sz w:val="22"/>
          <w:szCs w:val="22"/>
        </w:rPr>
        <w:t>More control in sorting businesses on your ‘manage access page’</w:t>
      </w:r>
    </w:p>
    <w:p w14:paraId="03C39AA5" w14:textId="77777777" w:rsidR="009B68AA" w:rsidRPr="00C453DA" w:rsidRDefault="009B68AA" w:rsidP="009B68AA">
      <w:pPr>
        <w:pStyle w:val="ListParagraph"/>
        <w:numPr>
          <w:ilvl w:val="1"/>
          <w:numId w:val="34"/>
        </w:numPr>
        <w:spacing w:before="0" w:after="200" w:line="276" w:lineRule="auto"/>
        <w:rPr>
          <w:rFonts w:cstheme="minorHAnsi"/>
          <w:sz w:val="22"/>
          <w:szCs w:val="22"/>
        </w:rPr>
      </w:pPr>
      <w:r w:rsidRPr="00C453DA">
        <w:rPr>
          <w:rFonts w:cstheme="minorHAnsi"/>
          <w:sz w:val="22"/>
          <w:szCs w:val="22"/>
        </w:rPr>
        <w:t>Additional questions for Research Service Providers (RSPs)/Non-levy collecting Co-operative Research Centres (CRCs)</w:t>
      </w:r>
    </w:p>
    <w:p w14:paraId="02105019" w14:textId="77777777" w:rsidR="009B68AA" w:rsidRPr="00C453DA" w:rsidRDefault="009B68AA" w:rsidP="009B68AA">
      <w:pPr>
        <w:pStyle w:val="ListParagraph"/>
        <w:numPr>
          <w:ilvl w:val="1"/>
          <w:numId w:val="34"/>
        </w:numPr>
        <w:spacing w:before="0" w:after="200" w:line="276" w:lineRule="auto"/>
        <w:rPr>
          <w:rFonts w:cstheme="minorHAnsi"/>
          <w:sz w:val="22"/>
          <w:szCs w:val="22"/>
        </w:rPr>
      </w:pPr>
      <w:r w:rsidRPr="00C453DA">
        <w:rPr>
          <w:rFonts w:cstheme="minorHAnsi"/>
          <w:sz w:val="22"/>
          <w:szCs w:val="22"/>
        </w:rPr>
        <w:t xml:space="preserve">Ability to add special characters into small text fields </w:t>
      </w:r>
    </w:p>
    <w:p w14:paraId="46DD87FD" w14:textId="77777777" w:rsidR="009B68AA" w:rsidRPr="00C453DA" w:rsidRDefault="009B68AA" w:rsidP="009B68AA">
      <w:pPr>
        <w:pStyle w:val="ListParagraph"/>
        <w:numPr>
          <w:ilvl w:val="1"/>
          <w:numId w:val="34"/>
        </w:numPr>
        <w:spacing w:before="0" w:after="200" w:line="276" w:lineRule="auto"/>
        <w:rPr>
          <w:rFonts w:cstheme="minorHAnsi"/>
          <w:sz w:val="22"/>
          <w:szCs w:val="22"/>
        </w:rPr>
      </w:pPr>
      <w:r w:rsidRPr="00C453DA">
        <w:rPr>
          <w:rFonts w:cstheme="minorHAnsi"/>
          <w:sz w:val="22"/>
          <w:szCs w:val="22"/>
        </w:rPr>
        <w:t>Improved help text and warnings and some question reordering</w:t>
      </w:r>
    </w:p>
    <w:p w14:paraId="3BB6E03F" w14:textId="77777777" w:rsidR="009B68AA" w:rsidRPr="00C453DA" w:rsidRDefault="009B68AA" w:rsidP="009B68AA">
      <w:pPr>
        <w:pStyle w:val="ListParagraph"/>
        <w:numPr>
          <w:ilvl w:val="1"/>
          <w:numId w:val="34"/>
        </w:numPr>
        <w:spacing w:before="0" w:after="200" w:line="276" w:lineRule="auto"/>
        <w:rPr>
          <w:rFonts w:cstheme="minorHAnsi"/>
          <w:sz w:val="22"/>
          <w:szCs w:val="22"/>
        </w:rPr>
      </w:pPr>
      <w:r w:rsidRPr="00C453DA">
        <w:rPr>
          <w:rFonts w:cstheme="minorHAnsi"/>
          <w:sz w:val="22"/>
          <w:szCs w:val="22"/>
        </w:rPr>
        <w:t xml:space="preserve">Alpha-numeric sorting of project and activities lists </w:t>
      </w:r>
    </w:p>
    <w:p w14:paraId="71C5B630" w14:textId="77777777" w:rsidR="009B68AA" w:rsidRPr="00C453DA" w:rsidRDefault="009B68AA" w:rsidP="009B68AA">
      <w:pPr>
        <w:pStyle w:val="ListParagraph"/>
        <w:numPr>
          <w:ilvl w:val="1"/>
          <w:numId w:val="34"/>
        </w:numPr>
        <w:spacing w:before="0" w:after="200" w:line="276" w:lineRule="auto"/>
        <w:rPr>
          <w:rFonts w:cstheme="minorHAnsi"/>
          <w:sz w:val="22"/>
          <w:szCs w:val="22"/>
        </w:rPr>
      </w:pPr>
      <w:r w:rsidRPr="00C453DA">
        <w:rPr>
          <w:rFonts w:cstheme="minorHAnsi"/>
          <w:sz w:val="22"/>
          <w:szCs w:val="22"/>
        </w:rPr>
        <w:t>Additional questions for R&amp;D Consultants</w:t>
      </w:r>
    </w:p>
    <w:p w14:paraId="03EE3443" w14:textId="2AC24AA2" w:rsidR="009B68AA" w:rsidRPr="00C453DA" w:rsidRDefault="009B68AA" w:rsidP="009B68AA">
      <w:pPr>
        <w:pStyle w:val="ListParagraph"/>
        <w:numPr>
          <w:ilvl w:val="0"/>
          <w:numId w:val="34"/>
        </w:numPr>
        <w:spacing w:before="0" w:after="200" w:line="276" w:lineRule="auto"/>
        <w:rPr>
          <w:rFonts w:cstheme="minorHAnsi"/>
          <w:sz w:val="22"/>
          <w:szCs w:val="22"/>
        </w:rPr>
      </w:pPr>
      <w:r w:rsidRPr="00C453DA">
        <w:rPr>
          <w:rFonts w:cstheme="minorHAnsi"/>
          <w:sz w:val="22"/>
          <w:szCs w:val="22"/>
        </w:rPr>
        <w:t>The ATO is working to put the Relationship Authorisation Manager (RAM) company linking f</w:t>
      </w:r>
      <w:r w:rsidR="008346FF">
        <w:rPr>
          <w:rFonts w:cstheme="minorHAnsi"/>
          <w:sz w:val="22"/>
          <w:szCs w:val="22"/>
        </w:rPr>
        <w:t>unction back online in December.</w:t>
      </w:r>
    </w:p>
    <w:p w14:paraId="130CA7E6" w14:textId="77777777" w:rsidR="009B68AA" w:rsidRPr="00C453DA" w:rsidRDefault="009B68AA" w:rsidP="009B68AA">
      <w:pPr>
        <w:pStyle w:val="ListParagraph"/>
        <w:numPr>
          <w:ilvl w:val="0"/>
          <w:numId w:val="34"/>
        </w:numPr>
        <w:spacing w:before="0" w:after="200" w:line="276" w:lineRule="auto"/>
        <w:rPr>
          <w:rFonts w:cstheme="minorHAnsi"/>
          <w:sz w:val="22"/>
          <w:szCs w:val="22"/>
        </w:rPr>
      </w:pPr>
      <w:r w:rsidRPr="00C453DA">
        <w:rPr>
          <w:rFonts w:cstheme="minorHAnsi"/>
          <w:sz w:val="22"/>
          <w:szCs w:val="22"/>
        </w:rPr>
        <w:t>Planning for future portal improvements is underway and expected to be released in February 2022. Some items include:</w:t>
      </w:r>
    </w:p>
    <w:p w14:paraId="6791E816" w14:textId="77777777" w:rsidR="009B68AA" w:rsidRPr="00C453DA" w:rsidRDefault="009B68AA" w:rsidP="009B68AA">
      <w:pPr>
        <w:pStyle w:val="ListParagraph"/>
        <w:numPr>
          <w:ilvl w:val="1"/>
          <w:numId w:val="34"/>
        </w:numPr>
        <w:spacing w:before="0" w:after="200" w:line="276" w:lineRule="auto"/>
        <w:rPr>
          <w:rFonts w:cstheme="minorHAnsi"/>
          <w:sz w:val="22"/>
          <w:szCs w:val="22"/>
        </w:rPr>
      </w:pPr>
      <w:r w:rsidRPr="00C453DA">
        <w:rPr>
          <w:rFonts w:cstheme="minorHAnsi"/>
          <w:sz w:val="22"/>
          <w:szCs w:val="22"/>
        </w:rPr>
        <w:t>Additional questions for RSPs/non-levy collecting CRCs</w:t>
      </w:r>
    </w:p>
    <w:p w14:paraId="63818369" w14:textId="77777777" w:rsidR="009B68AA" w:rsidRPr="00C453DA" w:rsidRDefault="009B68AA" w:rsidP="009B68AA">
      <w:pPr>
        <w:pStyle w:val="ListParagraph"/>
        <w:numPr>
          <w:ilvl w:val="1"/>
          <w:numId w:val="34"/>
        </w:numPr>
        <w:spacing w:before="0" w:after="200" w:line="276" w:lineRule="auto"/>
        <w:rPr>
          <w:rFonts w:cstheme="minorHAnsi"/>
          <w:sz w:val="22"/>
          <w:szCs w:val="22"/>
        </w:rPr>
      </w:pPr>
      <w:r w:rsidRPr="00C453DA">
        <w:rPr>
          <w:rFonts w:cstheme="minorHAnsi"/>
          <w:sz w:val="22"/>
          <w:szCs w:val="22"/>
        </w:rPr>
        <w:t xml:space="preserve">Further improvements to help text and warning messages </w:t>
      </w:r>
    </w:p>
    <w:p w14:paraId="7A9B30CD" w14:textId="77777777" w:rsidR="009B68AA" w:rsidRPr="00C453DA" w:rsidRDefault="009B68AA" w:rsidP="009B68AA">
      <w:pPr>
        <w:pStyle w:val="ListParagraph"/>
        <w:numPr>
          <w:ilvl w:val="1"/>
          <w:numId w:val="34"/>
        </w:numPr>
        <w:spacing w:before="0" w:after="200" w:line="276" w:lineRule="auto"/>
        <w:rPr>
          <w:rFonts w:cstheme="minorHAnsi"/>
          <w:sz w:val="22"/>
          <w:szCs w:val="22"/>
        </w:rPr>
      </w:pPr>
      <w:r w:rsidRPr="00C453DA">
        <w:rPr>
          <w:rFonts w:cstheme="minorHAnsi"/>
          <w:sz w:val="22"/>
          <w:szCs w:val="22"/>
        </w:rPr>
        <w:t>Adding totals to expenditure fields</w:t>
      </w:r>
    </w:p>
    <w:p w14:paraId="2EAC2AA0" w14:textId="4F9D6ED7" w:rsidR="009B68AA" w:rsidRPr="00C453DA" w:rsidRDefault="009B68AA" w:rsidP="009B68AA">
      <w:pPr>
        <w:pStyle w:val="ListParagraph"/>
        <w:numPr>
          <w:ilvl w:val="0"/>
          <w:numId w:val="34"/>
        </w:numPr>
        <w:spacing w:before="0" w:after="200" w:line="276" w:lineRule="auto"/>
        <w:rPr>
          <w:rFonts w:cstheme="minorHAnsi"/>
          <w:sz w:val="22"/>
          <w:szCs w:val="22"/>
        </w:rPr>
      </w:pPr>
      <w:r w:rsidRPr="00C453DA">
        <w:rPr>
          <w:rFonts w:cstheme="minorHAnsi"/>
          <w:sz w:val="22"/>
          <w:szCs w:val="22"/>
        </w:rPr>
        <w:t>Longer term, we’re hoping to revise the advance/overseas finding (AOF) form so it is better aligned to the assessment process and can link to the registration form to reduce duplication</w:t>
      </w:r>
      <w:r w:rsidR="001C10C5">
        <w:rPr>
          <w:rFonts w:cstheme="minorHAnsi"/>
          <w:sz w:val="22"/>
          <w:szCs w:val="22"/>
        </w:rPr>
        <w:t>.</w:t>
      </w:r>
    </w:p>
    <w:p w14:paraId="1DEC033C" w14:textId="1D3BC452" w:rsidR="009B68AA" w:rsidRPr="00C453DA" w:rsidRDefault="009B68AA" w:rsidP="009B68AA">
      <w:pPr>
        <w:pStyle w:val="ListParagraph"/>
        <w:numPr>
          <w:ilvl w:val="0"/>
          <w:numId w:val="34"/>
        </w:numPr>
        <w:spacing w:before="0" w:after="200" w:line="276" w:lineRule="auto"/>
        <w:rPr>
          <w:rFonts w:cstheme="minorHAnsi"/>
          <w:sz w:val="22"/>
          <w:szCs w:val="22"/>
        </w:rPr>
      </w:pPr>
      <w:r w:rsidRPr="00C453DA">
        <w:rPr>
          <w:rFonts w:cstheme="minorHAnsi"/>
          <w:sz w:val="22"/>
          <w:szCs w:val="22"/>
        </w:rPr>
        <w:t>We are also considering for customer surveys to enable more regular feedback</w:t>
      </w:r>
      <w:r w:rsidR="001C10C5">
        <w:rPr>
          <w:rFonts w:cstheme="minorHAnsi"/>
          <w:sz w:val="22"/>
          <w:szCs w:val="22"/>
        </w:rPr>
        <w:t>.</w:t>
      </w:r>
    </w:p>
    <w:p w14:paraId="0244D6BD" w14:textId="18E73B75" w:rsidR="009B68AA" w:rsidRPr="00C453DA" w:rsidRDefault="009B68AA" w:rsidP="009B68AA">
      <w:pPr>
        <w:pStyle w:val="ListParagraph"/>
        <w:numPr>
          <w:ilvl w:val="0"/>
          <w:numId w:val="34"/>
        </w:numPr>
        <w:spacing w:before="0" w:after="200" w:line="276" w:lineRule="auto"/>
        <w:rPr>
          <w:rFonts w:cstheme="minorHAnsi"/>
          <w:sz w:val="22"/>
          <w:szCs w:val="22"/>
        </w:rPr>
      </w:pPr>
      <w:r w:rsidRPr="00C453DA">
        <w:rPr>
          <w:rFonts w:cstheme="minorHAnsi"/>
          <w:sz w:val="22"/>
          <w:szCs w:val="22"/>
        </w:rPr>
        <w:t>Portal feedback is welcomed and all comments are considered for future portal upgrades</w:t>
      </w:r>
      <w:r w:rsidR="001C10C5">
        <w:rPr>
          <w:rFonts w:cstheme="minorHAnsi"/>
          <w:sz w:val="22"/>
          <w:szCs w:val="22"/>
        </w:rPr>
        <w:t>.</w:t>
      </w:r>
    </w:p>
    <w:p w14:paraId="25EEBE25" w14:textId="53857F13" w:rsidR="009B68AA" w:rsidRDefault="009B68AA" w:rsidP="009B68AA">
      <w:pPr>
        <w:ind w:left="360"/>
        <w:rPr>
          <w:rFonts w:eastAsia="Times New Roman" w:cstheme="minorHAnsi"/>
          <w:sz w:val="22"/>
          <w:szCs w:val="22"/>
          <w:lang w:eastAsia="en-AU"/>
        </w:rPr>
      </w:pPr>
      <w:r w:rsidRPr="00C453DA">
        <w:rPr>
          <w:rFonts w:eastAsia="Times New Roman" w:cstheme="minorHAnsi"/>
          <w:sz w:val="22"/>
          <w:szCs w:val="22"/>
          <w:lang w:eastAsia="en-AU"/>
        </w:rPr>
        <w:t>Kelley Wiggins</w:t>
      </w:r>
      <w:r w:rsidR="00177D26">
        <w:rPr>
          <w:rFonts w:eastAsia="Times New Roman" w:cstheme="minorHAnsi"/>
          <w:sz w:val="22"/>
          <w:szCs w:val="22"/>
          <w:lang w:eastAsia="en-AU"/>
        </w:rPr>
        <w:t xml:space="preserve"> (AusIndustry)</w:t>
      </w:r>
      <w:r w:rsidRPr="00C453DA">
        <w:rPr>
          <w:rFonts w:eastAsia="Times New Roman" w:cstheme="minorHAnsi"/>
          <w:sz w:val="22"/>
          <w:szCs w:val="22"/>
          <w:lang w:eastAsia="en-AU"/>
        </w:rPr>
        <w:t xml:space="preserve"> provided some registration observations and guidance:</w:t>
      </w:r>
    </w:p>
    <w:p w14:paraId="79E0BDC9" w14:textId="77777777" w:rsidR="001C10C5" w:rsidRPr="00C453DA" w:rsidRDefault="001C10C5" w:rsidP="001C10C5">
      <w:pPr>
        <w:spacing w:before="0"/>
        <w:ind w:left="360"/>
        <w:rPr>
          <w:rFonts w:eastAsia="Times New Roman" w:cstheme="minorHAnsi"/>
          <w:b/>
          <w:sz w:val="22"/>
          <w:szCs w:val="22"/>
          <w:lang w:eastAsia="en-AU"/>
        </w:rPr>
      </w:pPr>
    </w:p>
    <w:p w14:paraId="53014EBC" w14:textId="77777777" w:rsidR="009B68AA" w:rsidRPr="00C453DA" w:rsidRDefault="009B68AA" w:rsidP="009B68AA">
      <w:pPr>
        <w:pStyle w:val="ListParagraph"/>
        <w:numPr>
          <w:ilvl w:val="0"/>
          <w:numId w:val="28"/>
        </w:numPr>
        <w:spacing w:before="0" w:after="200" w:line="276" w:lineRule="auto"/>
        <w:rPr>
          <w:rFonts w:cstheme="minorHAnsi"/>
          <w:sz w:val="22"/>
          <w:szCs w:val="22"/>
        </w:rPr>
      </w:pPr>
      <w:r w:rsidRPr="00C453DA">
        <w:rPr>
          <w:rFonts w:cstheme="minorHAnsi"/>
          <w:sz w:val="22"/>
          <w:szCs w:val="22"/>
        </w:rPr>
        <w:t>Registration submissions on ‘unknown outcomes’:</w:t>
      </w:r>
    </w:p>
    <w:p w14:paraId="7436631A" w14:textId="15D2D721" w:rsidR="009B68AA" w:rsidRPr="00C453DA" w:rsidRDefault="009B68AA" w:rsidP="009B68AA">
      <w:pPr>
        <w:pStyle w:val="ListParagraph"/>
        <w:numPr>
          <w:ilvl w:val="1"/>
          <w:numId w:val="28"/>
        </w:numPr>
        <w:spacing w:before="0" w:after="200" w:line="276" w:lineRule="auto"/>
        <w:rPr>
          <w:rFonts w:cstheme="minorHAnsi"/>
          <w:i/>
          <w:sz w:val="22"/>
          <w:szCs w:val="22"/>
        </w:rPr>
      </w:pPr>
      <w:r w:rsidRPr="00C453DA">
        <w:rPr>
          <w:rFonts w:cstheme="minorHAnsi"/>
          <w:sz w:val="22"/>
          <w:szCs w:val="22"/>
        </w:rPr>
        <w:t>In previous forms, a question for unknown outcome was asked</w:t>
      </w:r>
      <w:r w:rsidR="001C10C5">
        <w:rPr>
          <w:rFonts w:cstheme="minorHAnsi"/>
          <w:sz w:val="22"/>
          <w:szCs w:val="22"/>
        </w:rPr>
        <w:t xml:space="preserve"> at the project level. Now R&amp;D e</w:t>
      </w:r>
      <w:r w:rsidRPr="00C453DA">
        <w:rPr>
          <w:rFonts w:cstheme="minorHAnsi"/>
          <w:sz w:val="22"/>
          <w:szCs w:val="22"/>
        </w:rPr>
        <w:t>ntities are asked “</w:t>
      </w:r>
      <w:r w:rsidRPr="00C453DA">
        <w:rPr>
          <w:rFonts w:cstheme="minorHAnsi"/>
          <w:i/>
          <w:sz w:val="22"/>
          <w:szCs w:val="22"/>
        </w:rPr>
        <w:t>How did the company determine that the outcome could not be known in advance?”</w:t>
      </w:r>
      <w:r w:rsidRPr="00C453DA">
        <w:rPr>
          <w:rFonts w:cstheme="minorHAnsi"/>
          <w:sz w:val="22"/>
          <w:szCs w:val="22"/>
        </w:rPr>
        <w:t xml:space="preserve"> for </w:t>
      </w:r>
      <w:r w:rsidRPr="00C453DA">
        <w:rPr>
          <w:rFonts w:cstheme="minorHAnsi"/>
          <w:b/>
          <w:sz w:val="22"/>
          <w:szCs w:val="22"/>
        </w:rPr>
        <w:t xml:space="preserve">each </w:t>
      </w:r>
      <w:r w:rsidRPr="00C453DA">
        <w:rPr>
          <w:rFonts w:cstheme="minorHAnsi"/>
          <w:sz w:val="22"/>
          <w:szCs w:val="22"/>
        </w:rPr>
        <w:t>core activity. A sub-question asks for an explanation as to:</w:t>
      </w:r>
    </w:p>
    <w:p w14:paraId="6584D05B" w14:textId="77777777" w:rsidR="009B68AA" w:rsidRPr="00C453DA" w:rsidRDefault="009B68AA" w:rsidP="009B68AA">
      <w:pPr>
        <w:pStyle w:val="ListParagraph"/>
        <w:numPr>
          <w:ilvl w:val="2"/>
          <w:numId w:val="28"/>
        </w:numPr>
        <w:spacing w:before="0" w:after="200" w:line="276" w:lineRule="auto"/>
        <w:rPr>
          <w:rFonts w:cstheme="minorHAnsi"/>
          <w:i/>
          <w:sz w:val="22"/>
          <w:szCs w:val="22"/>
        </w:rPr>
      </w:pPr>
      <w:r w:rsidRPr="00C453DA">
        <w:rPr>
          <w:rFonts w:cstheme="minorHAnsi"/>
          <w:sz w:val="22"/>
          <w:szCs w:val="22"/>
        </w:rPr>
        <w:t xml:space="preserve">what information was found; and </w:t>
      </w:r>
    </w:p>
    <w:p w14:paraId="333A3343" w14:textId="77777777" w:rsidR="009B68AA" w:rsidRPr="00C453DA" w:rsidRDefault="009B68AA" w:rsidP="009B68AA">
      <w:pPr>
        <w:pStyle w:val="ListParagraph"/>
        <w:numPr>
          <w:ilvl w:val="2"/>
          <w:numId w:val="28"/>
        </w:numPr>
        <w:spacing w:before="0" w:after="200" w:line="276" w:lineRule="auto"/>
        <w:rPr>
          <w:rFonts w:cstheme="minorHAnsi"/>
          <w:i/>
          <w:sz w:val="22"/>
          <w:szCs w:val="22"/>
        </w:rPr>
      </w:pPr>
      <w:r w:rsidRPr="00C453DA">
        <w:rPr>
          <w:rFonts w:cstheme="minorHAnsi"/>
          <w:sz w:val="22"/>
          <w:szCs w:val="22"/>
        </w:rPr>
        <w:t xml:space="preserve">why a competent professional could not have known or determined the outcome in advance. </w:t>
      </w:r>
    </w:p>
    <w:p w14:paraId="5ACD6303" w14:textId="3F66779A" w:rsidR="009B68AA" w:rsidRPr="00C453DA" w:rsidRDefault="009B68AA" w:rsidP="009B68AA">
      <w:pPr>
        <w:pStyle w:val="ListParagraph"/>
        <w:numPr>
          <w:ilvl w:val="1"/>
          <w:numId w:val="28"/>
        </w:numPr>
        <w:spacing w:before="0" w:after="200" w:line="276" w:lineRule="auto"/>
        <w:rPr>
          <w:rFonts w:cstheme="minorHAnsi"/>
          <w:sz w:val="22"/>
          <w:szCs w:val="22"/>
        </w:rPr>
      </w:pPr>
      <w:r w:rsidRPr="00C453DA">
        <w:rPr>
          <w:rFonts w:cstheme="minorHAnsi"/>
          <w:sz w:val="22"/>
          <w:szCs w:val="22"/>
        </w:rPr>
        <w:t>SRG participants were advised to note that AusIndustry needs to understand both e</w:t>
      </w:r>
      <w:r w:rsidR="001C10C5">
        <w:rPr>
          <w:rFonts w:cstheme="minorHAnsi"/>
          <w:sz w:val="22"/>
          <w:szCs w:val="22"/>
        </w:rPr>
        <w:t xml:space="preserve">lements of this question and a </w:t>
      </w:r>
      <w:r w:rsidRPr="00C453DA">
        <w:rPr>
          <w:rFonts w:cstheme="minorHAnsi"/>
          <w:sz w:val="22"/>
          <w:szCs w:val="22"/>
        </w:rPr>
        <w:t xml:space="preserve">full response is needed for each core activity. Without a clear explanation of why there was an unknown outcome the eligibility of activities may come into question. </w:t>
      </w:r>
    </w:p>
    <w:p w14:paraId="145C437B" w14:textId="590723B0" w:rsidR="009B68AA" w:rsidRPr="00C453DA" w:rsidRDefault="009B68AA" w:rsidP="009B68AA">
      <w:pPr>
        <w:pStyle w:val="ListParagraph"/>
        <w:numPr>
          <w:ilvl w:val="0"/>
          <w:numId w:val="28"/>
        </w:numPr>
        <w:spacing w:before="0" w:after="200" w:line="276" w:lineRule="auto"/>
        <w:rPr>
          <w:rFonts w:cstheme="minorHAnsi"/>
          <w:sz w:val="22"/>
          <w:szCs w:val="22"/>
        </w:rPr>
      </w:pPr>
      <w:r w:rsidRPr="00C453DA">
        <w:rPr>
          <w:rFonts w:cstheme="minorHAnsi"/>
          <w:sz w:val="22"/>
          <w:szCs w:val="22"/>
        </w:rPr>
        <w:t>Guidance on registering and naming clinical trials</w:t>
      </w:r>
      <w:r w:rsidR="001C10C5">
        <w:rPr>
          <w:rFonts w:cstheme="minorHAnsi"/>
          <w:sz w:val="22"/>
          <w:szCs w:val="22"/>
        </w:rPr>
        <w:t>:</w:t>
      </w:r>
    </w:p>
    <w:p w14:paraId="329593E9" w14:textId="77777777" w:rsidR="009B68AA" w:rsidRPr="00C453DA" w:rsidRDefault="009B68AA" w:rsidP="009B68AA">
      <w:pPr>
        <w:pStyle w:val="ListParagraph"/>
        <w:numPr>
          <w:ilvl w:val="1"/>
          <w:numId w:val="28"/>
        </w:numPr>
        <w:spacing w:before="0" w:after="200" w:line="276" w:lineRule="auto"/>
        <w:rPr>
          <w:rFonts w:cstheme="minorHAnsi"/>
          <w:sz w:val="22"/>
          <w:szCs w:val="22"/>
        </w:rPr>
      </w:pPr>
      <w:r w:rsidRPr="00C453DA">
        <w:rPr>
          <w:rFonts w:cstheme="minorHAnsi"/>
          <w:sz w:val="22"/>
          <w:szCs w:val="22"/>
        </w:rPr>
        <w:t>Where an R&amp;D entity’s core R&amp;D activities involve clinical trials, please name the clinical trial in full and any relevant reference number.  This will become more important as we finalise our first determination on clinical trials</w:t>
      </w:r>
    </w:p>
    <w:p w14:paraId="2F581D66" w14:textId="77777777" w:rsidR="009B68AA" w:rsidRPr="00C453DA" w:rsidRDefault="009B68AA" w:rsidP="009B68AA">
      <w:pPr>
        <w:pStyle w:val="ListParagraph"/>
        <w:numPr>
          <w:ilvl w:val="0"/>
          <w:numId w:val="28"/>
        </w:numPr>
        <w:spacing w:before="0" w:after="200" w:line="276" w:lineRule="auto"/>
        <w:rPr>
          <w:rFonts w:cstheme="minorHAnsi"/>
          <w:sz w:val="22"/>
          <w:szCs w:val="22"/>
        </w:rPr>
      </w:pPr>
      <w:r w:rsidRPr="00C453DA">
        <w:rPr>
          <w:rFonts w:cstheme="minorHAnsi"/>
          <w:sz w:val="22"/>
          <w:szCs w:val="22"/>
        </w:rPr>
        <w:t>Caution on requesting Extensions of Time (EoTs) in the lead up to a registration deadline was recommended. These must be requested in the portal so companies must gain access to the portal beforehand. Tax agents were advised not to apply for blanket EoTs for multiple companies as this diverts resources from registrations which can slow processes down in peak periods.</w:t>
      </w:r>
    </w:p>
    <w:p w14:paraId="626C9E08" w14:textId="4368E986" w:rsidR="009B68AA" w:rsidRPr="00177D26" w:rsidRDefault="009B68AA" w:rsidP="00177D26">
      <w:pPr>
        <w:pStyle w:val="Heading2"/>
        <w:numPr>
          <w:ilvl w:val="0"/>
          <w:numId w:val="45"/>
        </w:numPr>
      </w:pPr>
      <w:r w:rsidRPr="00177D26">
        <w:t xml:space="preserve">ATO Program Update </w:t>
      </w:r>
    </w:p>
    <w:p w14:paraId="7BF779C9" w14:textId="70FA5D33" w:rsidR="009B68AA" w:rsidRDefault="009B68AA" w:rsidP="009B68AA">
      <w:pPr>
        <w:rPr>
          <w:rFonts w:cstheme="minorHAnsi"/>
          <w:sz w:val="22"/>
        </w:rPr>
      </w:pPr>
      <w:r w:rsidRPr="00177D26">
        <w:rPr>
          <w:rFonts w:cstheme="minorHAnsi"/>
          <w:sz w:val="22"/>
        </w:rPr>
        <w:t xml:space="preserve">Brett Challans </w:t>
      </w:r>
      <w:r w:rsidR="00177D26">
        <w:rPr>
          <w:rFonts w:cstheme="minorHAnsi"/>
          <w:sz w:val="22"/>
        </w:rPr>
        <w:t xml:space="preserve">(ATO) </w:t>
      </w:r>
      <w:r w:rsidRPr="00177D26">
        <w:rPr>
          <w:rFonts w:cstheme="minorHAnsi"/>
          <w:sz w:val="22"/>
        </w:rPr>
        <w:t>provided an update on ATO guidance and feedstock:</w:t>
      </w:r>
    </w:p>
    <w:p w14:paraId="5493C1BD" w14:textId="77777777" w:rsidR="001C10C5" w:rsidRPr="00177D26" w:rsidRDefault="001C10C5" w:rsidP="001C10C5">
      <w:pPr>
        <w:spacing w:before="0"/>
        <w:rPr>
          <w:rFonts w:cstheme="minorHAnsi"/>
          <w:sz w:val="22"/>
        </w:rPr>
      </w:pPr>
    </w:p>
    <w:p w14:paraId="60080EE6" w14:textId="77777777" w:rsidR="009B68AA" w:rsidRPr="00177D26" w:rsidRDefault="009B68AA" w:rsidP="009B68AA">
      <w:pPr>
        <w:pStyle w:val="ListParagraph"/>
        <w:numPr>
          <w:ilvl w:val="0"/>
          <w:numId w:val="35"/>
        </w:numPr>
        <w:spacing w:before="0" w:after="200" w:line="276" w:lineRule="auto"/>
        <w:rPr>
          <w:rFonts w:cstheme="minorHAnsi"/>
          <w:sz w:val="22"/>
        </w:rPr>
      </w:pPr>
      <w:r w:rsidRPr="00177D26">
        <w:rPr>
          <w:rFonts w:cstheme="minorHAnsi"/>
          <w:sz w:val="22"/>
        </w:rPr>
        <w:t xml:space="preserve">The ATO has issued the draft Taxation Ruling TR 2021/D3 </w:t>
      </w:r>
      <w:r w:rsidRPr="00177D26">
        <w:rPr>
          <w:rFonts w:cstheme="minorHAnsi"/>
          <w:i/>
          <w:sz w:val="22"/>
        </w:rPr>
        <w:t xml:space="preserve">Income tax: research and development tax offsets - the ‘at risk rule’ </w:t>
      </w:r>
      <w:r w:rsidRPr="00177D26">
        <w:rPr>
          <w:rFonts w:cstheme="minorHAnsi"/>
          <w:sz w:val="22"/>
        </w:rPr>
        <w:t xml:space="preserve">and draft Taxation Determination TD 2020/D1 </w:t>
      </w:r>
      <w:r w:rsidRPr="00177D26">
        <w:rPr>
          <w:rFonts w:cstheme="minorHAnsi"/>
          <w:i/>
          <w:sz w:val="22"/>
        </w:rPr>
        <w:t>“Income tax: notional deductions for research and development activities subsidised by JobKeeper payments”</w:t>
      </w:r>
      <w:r w:rsidRPr="00177D26">
        <w:rPr>
          <w:rFonts w:cstheme="minorHAnsi"/>
          <w:sz w:val="22"/>
        </w:rPr>
        <w:t xml:space="preserve"> in the last year. Feedback on the drafts is being considered. The draft Determination will not be finalised until TR 2021/D3 is finalised due to the interactions of the ‘at risk’ rule with this draft TD.</w:t>
      </w:r>
    </w:p>
    <w:p w14:paraId="30308990" w14:textId="77777777" w:rsidR="009B68AA" w:rsidRPr="00177D26" w:rsidRDefault="009B68AA" w:rsidP="009B68AA">
      <w:pPr>
        <w:pStyle w:val="ListParagraph"/>
        <w:numPr>
          <w:ilvl w:val="0"/>
          <w:numId w:val="35"/>
        </w:numPr>
        <w:spacing w:before="0" w:after="200" w:line="276" w:lineRule="auto"/>
        <w:rPr>
          <w:rFonts w:cstheme="minorHAnsi"/>
          <w:sz w:val="22"/>
        </w:rPr>
      </w:pPr>
      <w:r w:rsidRPr="00177D26">
        <w:rPr>
          <w:rFonts w:cstheme="minorHAnsi"/>
          <w:sz w:val="22"/>
        </w:rPr>
        <w:t>The ATO is working on specific industry guidance products including a Software Expenditure Guide and a guide for R&amp;D for start-ups. Further online guidance material will be part of the refreshed ATO website in late 2021, including :</w:t>
      </w:r>
    </w:p>
    <w:p w14:paraId="511A2464" w14:textId="77777777" w:rsidR="009B68AA" w:rsidRPr="00177D26" w:rsidRDefault="009B68AA" w:rsidP="009B68AA">
      <w:pPr>
        <w:pStyle w:val="ListParagraph"/>
        <w:numPr>
          <w:ilvl w:val="1"/>
          <w:numId w:val="35"/>
        </w:numPr>
        <w:spacing w:before="0" w:after="200" w:line="276" w:lineRule="auto"/>
        <w:rPr>
          <w:rFonts w:cstheme="minorHAnsi"/>
          <w:sz w:val="22"/>
        </w:rPr>
      </w:pPr>
      <w:r w:rsidRPr="00177D26">
        <w:rPr>
          <w:rFonts w:cstheme="minorHAnsi"/>
          <w:sz w:val="22"/>
        </w:rPr>
        <w:t>Apportionment between R&amp;D and BAU expenditure</w:t>
      </w:r>
    </w:p>
    <w:p w14:paraId="72F2EA50" w14:textId="77777777" w:rsidR="009B68AA" w:rsidRPr="00177D26" w:rsidRDefault="009B68AA" w:rsidP="009B68AA">
      <w:pPr>
        <w:pStyle w:val="ListParagraph"/>
        <w:numPr>
          <w:ilvl w:val="1"/>
          <w:numId w:val="35"/>
        </w:numPr>
        <w:spacing w:before="0" w:after="200" w:line="276" w:lineRule="auto"/>
        <w:rPr>
          <w:rFonts w:cstheme="minorHAnsi"/>
          <w:sz w:val="22"/>
        </w:rPr>
      </w:pPr>
      <w:r w:rsidRPr="00177D26">
        <w:rPr>
          <w:rFonts w:cstheme="minorHAnsi"/>
          <w:sz w:val="22"/>
        </w:rPr>
        <w:t>Nexus between the registered R&amp;D activities and the R&amp;D expenditure</w:t>
      </w:r>
    </w:p>
    <w:p w14:paraId="6C140508" w14:textId="77777777" w:rsidR="009B68AA" w:rsidRPr="00177D26" w:rsidRDefault="009B68AA" w:rsidP="009B68AA">
      <w:pPr>
        <w:pStyle w:val="ListParagraph"/>
        <w:numPr>
          <w:ilvl w:val="1"/>
          <w:numId w:val="35"/>
        </w:numPr>
        <w:spacing w:before="0" w:after="200" w:line="276" w:lineRule="auto"/>
        <w:rPr>
          <w:rFonts w:cstheme="minorHAnsi"/>
          <w:sz w:val="22"/>
        </w:rPr>
      </w:pPr>
      <w:r w:rsidRPr="00177D26">
        <w:rPr>
          <w:rFonts w:cstheme="minorHAnsi"/>
          <w:sz w:val="22"/>
        </w:rPr>
        <w:t>Record keeping</w:t>
      </w:r>
    </w:p>
    <w:p w14:paraId="5711FB6A" w14:textId="77777777" w:rsidR="009B68AA" w:rsidRPr="00177D26" w:rsidRDefault="009B68AA" w:rsidP="009B68AA">
      <w:pPr>
        <w:pStyle w:val="ListParagraph"/>
        <w:numPr>
          <w:ilvl w:val="1"/>
          <w:numId w:val="35"/>
        </w:numPr>
        <w:spacing w:before="0" w:after="200" w:line="276" w:lineRule="auto"/>
        <w:rPr>
          <w:rFonts w:cstheme="minorHAnsi"/>
          <w:sz w:val="22"/>
        </w:rPr>
      </w:pPr>
      <w:r w:rsidRPr="00177D26">
        <w:rPr>
          <w:rFonts w:cstheme="minorHAnsi"/>
          <w:sz w:val="22"/>
        </w:rPr>
        <w:t>Payments to associates</w:t>
      </w:r>
    </w:p>
    <w:p w14:paraId="67E706EB" w14:textId="18E074E2" w:rsidR="009B68AA" w:rsidRPr="00177D26" w:rsidRDefault="009B68AA" w:rsidP="009B68AA">
      <w:pPr>
        <w:pStyle w:val="ListParagraph"/>
        <w:numPr>
          <w:ilvl w:val="0"/>
          <w:numId w:val="35"/>
        </w:numPr>
        <w:spacing w:before="0" w:after="200" w:line="276" w:lineRule="auto"/>
        <w:rPr>
          <w:rFonts w:cstheme="minorHAnsi"/>
          <w:sz w:val="22"/>
        </w:rPr>
      </w:pPr>
      <w:r w:rsidRPr="00177D26">
        <w:rPr>
          <w:rFonts w:cstheme="minorHAnsi"/>
          <w:sz w:val="22"/>
        </w:rPr>
        <w:t>Guidance on feedstock was also provided which is no longer calculated as a standardised approximation. Additional guidance and web content is being prepared keeping in mind that the new legislation only applies from 1 July 2022.</w:t>
      </w:r>
    </w:p>
    <w:p w14:paraId="2501576A" w14:textId="70A9ABC3" w:rsidR="009B68AA" w:rsidRPr="00177D26" w:rsidRDefault="009B68AA" w:rsidP="00177D26">
      <w:pPr>
        <w:pStyle w:val="Heading2"/>
        <w:numPr>
          <w:ilvl w:val="0"/>
          <w:numId w:val="45"/>
        </w:numPr>
      </w:pPr>
      <w:r w:rsidRPr="00177D26">
        <w:t xml:space="preserve">Legislative Issues </w:t>
      </w:r>
    </w:p>
    <w:p w14:paraId="3F834284" w14:textId="155DA4F1" w:rsidR="009B68AA" w:rsidRDefault="00177D26" w:rsidP="009B68AA">
      <w:pPr>
        <w:pStyle w:val="ListParagraph"/>
        <w:ind w:left="0"/>
        <w:rPr>
          <w:rFonts w:eastAsia="SimSun" w:cstheme="minorHAnsi"/>
          <w:color w:val="000000"/>
          <w:sz w:val="22"/>
        </w:rPr>
      </w:pPr>
      <w:r>
        <w:rPr>
          <w:rFonts w:cstheme="minorHAnsi"/>
          <w:sz w:val="22"/>
        </w:rPr>
        <w:t xml:space="preserve">Mike Thompson / Erin Watt (AusIndustry) </w:t>
      </w:r>
      <w:r w:rsidR="009B68AA" w:rsidRPr="00177D26">
        <w:rPr>
          <w:rFonts w:cstheme="minorHAnsi"/>
          <w:sz w:val="22"/>
        </w:rPr>
        <w:t xml:space="preserve">provided </w:t>
      </w:r>
      <w:r>
        <w:rPr>
          <w:rFonts w:cstheme="minorHAnsi"/>
          <w:sz w:val="22"/>
        </w:rPr>
        <w:t xml:space="preserve">an update </w:t>
      </w:r>
      <w:r w:rsidR="009B68AA" w:rsidRPr="00177D26">
        <w:rPr>
          <w:rFonts w:cstheme="minorHAnsi"/>
          <w:sz w:val="22"/>
        </w:rPr>
        <w:t xml:space="preserve">on the Federal Court and High Court of Australia decision in the </w:t>
      </w:r>
      <w:r w:rsidR="009B68AA" w:rsidRPr="00177D26">
        <w:rPr>
          <w:rFonts w:eastAsia="SimSun" w:cstheme="minorHAnsi"/>
          <w:color w:val="000000"/>
          <w:sz w:val="22"/>
        </w:rPr>
        <w:t>Coal of Queensland case:</w:t>
      </w:r>
    </w:p>
    <w:p w14:paraId="32C5F928" w14:textId="77777777" w:rsidR="00E87E90" w:rsidRPr="00177D26" w:rsidRDefault="00E87E90" w:rsidP="00E87E90">
      <w:pPr>
        <w:pStyle w:val="ListParagraph"/>
        <w:spacing w:before="0"/>
        <w:ind w:left="0"/>
        <w:rPr>
          <w:rFonts w:cstheme="minorHAnsi"/>
          <w:sz w:val="22"/>
        </w:rPr>
      </w:pPr>
    </w:p>
    <w:p w14:paraId="299BA6F5" w14:textId="77777777" w:rsidR="009B68AA" w:rsidRPr="00177D26" w:rsidRDefault="009B68AA" w:rsidP="009B68AA">
      <w:pPr>
        <w:pStyle w:val="ListParagraph"/>
        <w:numPr>
          <w:ilvl w:val="0"/>
          <w:numId w:val="38"/>
        </w:numPr>
        <w:spacing w:before="0" w:after="200" w:line="276" w:lineRule="auto"/>
        <w:rPr>
          <w:rFonts w:cstheme="minorHAnsi"/>
          <w:sz w:val="22"/>
        </w:rPr>
      </w:pPr>
      <w:r w:rsidRPr="00177D26">
        <w:rPr>
          <w:rFonts w:cstheme="minorHAnsi"/>
          <w:sz w:val="22"/>
        </w:rPr>
        <w:t xml:space="preserve">Key points from the Administrative Appeals Tribunal’s (AAT’s) review of Innovation and Science Australia’s (ISA’s) decision on Coal of Queensland’s applications included: </w:t>
      </w:r>
    </w:p>
    <w:p w14:paraId="5360D926" w14:textId="77777777" w:rsidR="009B68AA" w:rsidRPr="00177D26" w:rsidRDefault="009B68AA" w:rsidP="009B68AA">
      <w:pPr>
        <w:pStyle w:val="ListParagraph"/>
        <w:numPr>
          <w:ilvl w:val="1"/>
          <w:numId w:val="38"/>
        </w:numPr>
        <w:spacing w:before="0" w:after="200" w:line="276" w:lineRule="auto"/>
        <w:rPr>
          <w:rFonts w:cstheme="minorHAnsi"/>
          <w:sz w:val="22"/>
        </w:rPr>
      </w:pPr>
      <w:r w:rsidRPr="00177D26">
        <w:rPr>
          <w:rFonts w:cstheme="minorHAnsi"/>
          <w:sz w:val="22"/>
        </w:rPr>
        <w:t>The mining exclusion in subsection 355-25(2) of the ITAA 1997; and</w:t>
      </w:r>
    </w:p>
    <w:p w14:paraId="45775FF8" w14:textId="77777777" w:rsidR="009B68AA" w:rsidRPr="00177D26" w:rsidRDefault="009B68AA" w:rsidP="009B68AA">
      <w:pPr>
        <w:pStyle w:val="ListParagraph"/>
        <w:numPr>
          <w:ilvl w:val="1"/>
          <w:numId w:val="38"/>
        </w:numPr>
        <w:spacing w:before="0" w:after="200" w:line="276" w:lineRule="auto"/>
        <w:rPr>
          <w:rFonts w:cstheme="minorHAnsi"/>
          <w:sz w:val="22"/>
        </w:rPr>
      </w:pPr>
      <w:r w:rsidRPr="00177D26">
        <w:rPr>
          <w:rFonts w:cstheme="minorHAnsi"/>
          <w:sz w:val="22"/>
        </w:rPr>
        <w:t>Documentation is needed to demonstrate that activities are carried out by applying a systematic progression of work within the meaning of the R&amp;DTI legislation.</w:t>
      </w:r>
    </w:p>
    <w:p w14:paraId="0FA98CC8" w14:textId="77777777" w:rsidR="009B68AA" w:rsidRPr="00177D26" w:rsidRDefault="009B68AA" w:rsidP="009B68AA">
      <w:pPr>
        <w:pStyle w:val="ListParagraph"/>
        <w:numPr>
          <w:ilvl w:val="0"/>
          <w:numId w:val="38"/>
        </w:numPr>
        <w:spacing w:before="0" w:after="200" w:line="276" w:lineRule="auto"/>
        <w:rPr>
          <w:rFonts w:cstheme="minorHAnsi"/>
          <w:sz w:val="22"/>
        </w:rPr>
      </w:pPr>
      <w:r w:rsidRPr="00177D26">
        <w:rPr>
          <w:rFonts w:cstheme="minorHAnsi"/>
          <w:sz w:val="22"/>
        </w:rPr>
        <w:t>The Full Court of the Federal Court (FCAFC) and then the High Court of Australia both dismissed the appeal and affirmed the AAT and ISA decisions and AusIndustry’s position.</w:t>
      </w:r>
    </w:p>
    <w:p w14:paraId="768A8668" w14:textId="77777777" w:rsidR="009B68AA" w:rsidRPr="00177D26" w:rsidRDefault="009B68AA" w:rsidP="009B68AA">
      <w:pPr>
        <w:pStyle w:val="ListParagraph"/>
        <w:numPr>
          <w:ilvl w:val="0"/>
          <w:numId w:val="38"/>
        </w:numPr>
        <w:spacing w:before="0" w:after="200" w:line="276" w:lineRule="auto"/>
        <w:rPr>
          <w:rFonts w:cstheme="minorHAnsi"/>
          <w:sz w:val="22"/>
        </w:rPr>
      </w:pPr>
      <w:r w:rsidRPr="00177D26">
        <w:rPr>
          <w:sz w:val="22"/>
        </w:rPr>
        <w:t>The High Court decision means the FCAFC decision, that Coal of Queensland’s claimed activities for the 2011-12 income year were not R&amp;D activities for the purpose of the R&amp;D tax incentive, stands.</w:t>
      </w:r>
    </w:p>
    <w:p w14:paraId="3B533500" w14:textId="77777777" w:rsidR="009B68AA" w:rsidRPr="00177D26" w:rsidRDefault="009B68AA" w:rsidP="009B68AA">
      <w:pPr>
        <w:pStyle w:val="ListParagraph"/>
        <w:numPr>
          <w:ilvl w:val="0"/>
          <w:numId w:val="38"/>
        </w:numPr>
        <w:spacing w:before="0" w:after="200" w:line="276" w:lineRule="auto"/>
        <w:rPr>
          <w:sz w:val="22"/>
        </w:rPr>
      </w:pPr>
      <w:r w:rsidRPr="00177D26">
        <w:rPr>
          <w:sz w:val="22"/>
        </w:rPr>
        <w:t>The Federal Court decision affirmed the Tribunal’s reasoning and process, and is consistent with the way that AusIndustry assesses R&amp;D activities ie. when activities fall under the mining exclusion, this is sufficient by itself for those activities to not to be found to be core R&amp;D activities.</w:t>
      </w:r>
    </w:p>
    <w:p w14:paraId="0225062A" w14:textId="77777777" w:rsidR="009B68AA" w:rsidRPr="00177D26" w:rsidRDefault="009B68AA" w:rsidP="009B68AA">
      <w:pPr>
        <w:pStyle w:val="ListParagraph"/>
        <w:numPr>
          <w:ilvl w:val="0"/>
          <w:numId w:val="38"/>
        </w:numPr>
        <w:spacing w:before="0" w:after="200" w:line="276" w:lineRule="auto"/>
        <w:rPr>
          <w:sz w:val="22"/>
        </w:rPr>
      </w:pPr>
      <w:r w:rsidRPr="00177D26">
        <w:rPr>
          <w:sz w:val="22"/>
        </w:rPr>
        <w:t>The decision also noted that there is a distinction between the data and results generated by an activity, and the outcome of an activity, having regard to determining whether the outcome of an activity can be known or determined in advance.</w:t>
      </w:r>
    </w:p>
    <w:p w14:paraId="616A1F78" w14:textId="77777777" w:rsidR="009B68AA" w:rsidRPr="00177D26" w:rsidRDefault="009B68AA" w:rsidP="009B68AA">
      <w:pPr>
        <w:pStyle w:val="ListParagraph"/>
        <w:numPr>
          <w:ilvl w:val="0"/>
          <w:numId w:val="38"/>
        </w:numPr>
        <w:spacing w:before="0" w:after="200" w:line="276" w:lineRule="auto"/>
        <w:rPr>
          <w:sz w:val="22"/>
        </w:rPr>
      </w:pPr>
      <w:r w:rsidRPr="00177D26">
        <w:rPr>
          <w:sz w:val="22"/>
        </w:rPr>
        <w:t>The absence of documentation can be one of the factors considered when determining whether activities are carried out.</w:t>
      </w:r>
    </w:p>
    <w:p w14:paraId="3F4630DD" w14:textId="024C4DFB" w:rsidR="009B68AA" w:rsidRPr="00177D26" w:rsidRDefault="009B68AA" w:rsidP="00177D26">
      <w:pPr>
        <w:pStyle w:val="Heading2"/>
        <w:numPr>
          <w:ilvl w:val="0"/>
          <w:numId w:val="45"/>
        </w:numPr>
      </w:pPr>
      <w:r w:rsidRPr="00177D26">
        <w:t xml:space="preserve">Determinations </w:t>
      </w:r>
    </w:p>
    <w:p w14:paraId="02CD58D8" w14:textId="19A629F4" w:rsidR="009B68AA" w:rsidRDefault="00177D26" w:rsidP="009B68AA">
      <w:pPr>
        <w:rPr>
          <w:rFonts w:eastAsia="Times New Roman" w:cstheme="minorHAnsi"/>
          <w:sz w:val="22"/>
          <w:lang w:eastAsia="en-AU"/>
        </w:rPr>
      </w:pPr>
      <w:r>
        <w:rPr>
          <w:rFonts w:eastAsiaTheme="majorEastAsia" w:cstheme="minorHAnsi"/>
          <w:bCs/>
          <w:sz w:val="22"/>
        </w:rPr>
        <w:t xml:space="preserve">Chris Enders (AusIndustry) provided an update on </w:t>
      </w:r>
      <w:r w:rsidR="009B68AA" w:rsidRPr="00177D26">
        <w:rPr>
          <w:rFonts w:eastAsiaTheme="majorEastAsia" w:cstheme="minorHAnsi"/>
          <w:bCs/>
          <w:sz w:val="22"/>
        </w:rPr>
        <w:t xml:space="preserve">the development of the first determination under the R&amp;DTI program which will be on </w:t>
      </w:r>
      <w:r w:rsidR="00E87E90">
        <w:rPr>
          <w:rFonts w:eastAsia="Times New Roman" w:cstheme="minorHAnsi"/>
          <w:sz w:val="22"/>
          <w:lang w:eastAsia="en-AU"/>
        </w:rPr>
        <w:t>clinical trials:</w:t>
      </w:r>
    </w:p>
    <w:p w14:paraId="268A1075" w14:textId="77777777" w:rsidR="00E87E90" w:rsidRPr="00177D26" w:rsidRDefault="00E87E90" w:rsidP="00E87E90">
      <w:pPr>
        <w:spacing w:before="0"/>
        <w:rPr>
          <w:rFonts w:eastAsia="Times New Roman" w:cstheme="minorHAnsi"/>
          <w:sz w:val="22"/>
          <w:lang w:eastAsia="en-AU"/>
        </w:rPr>
      </w:pPr>
    </w:p>
    <w:p w14:paraId="1AD5FFAF" w14:textId="67A03DC2" w:rsidR="009B68AA" w:rsidRPr="00177D26" w:rsidRDefault="009B68AA" w:rsidP="009B68AA">
      <w:pPr>
        <w:pStyle w:val="ListParagraph"/>
        <w:numPr>
          <w:ilvl w:val="0"/>
          <w:numId w:val="27"/>
        </w:numPr>
        <w:spacing w:before="0" w:after="200" w:line="276" w:lineRule="auto"/>
        <w:ind w:left="709"/>
        <w:rPr>
          <w:rFonts w:cstheme="minorHAnsi"/>
          <w:sz w:val="22"/>
        </w:rPr>
      </w:pPr>
      <w:r w:rsidRPr="00177D26">
        <w:rPr>
          <w:rFonts w:eastAsia="Times New Roman" w:cstheme="minorHAnsi"/>
          <w:sz w:val="22"/>
          <w:lang w:eastAsia="en-AU"/>
        </w:rPr>
        <w:t>T</w:t>
      </w:r>
      <w:r w:rsidRPr="00177D26">
        <w:rPr>
          <w:rFonts w:cstheme="minorHAnsi"/>
          <w:sz w:val="22"/>
        </w:rPr>
        <w:t>he first draft determination is scheduled for release for public consultation in November 2021 and seeks to make a determination that clinical trials are ‘core R&amp;D activities’ for the purposes of applying to the R&amp;DTI program.</w:t>
      </w:r>
    </w:p>
    <w:p w14:paraId="1EBE8C4F" w14:textId="77777777" w:rsidR="009B68AA" w:rsidRPr="00177D26" w:rsidRDefault="009B68AA" w:rsidP="009B68AA">
      <w:pPr>
        <w:pStyle w:val="ListParagraph"/>
        <w:numPr>
          <w:ilvl w:val="0"/>
          <w:numId w:val="27"/>
        </w:numPr>
        <w:spacing w:before="0" w:after="200" w:line="276" w:lineRule="auto"/>
        <w:ind w:left="709"/>
        <w:rPr>
          <w:sz w:val="22"/>
        </w:rPr>
      </w:pPr>
      <w:r w:rsidRPr="00177D26">
        <w:rPr>
          <w:rFonts w:cstheme="minorHAnsi"/>
          <w:sz w:val="22"/>
        </w:rPr>
        <w:t>Determinations will improve program delivery, administration and stakeholder experience by streamlining applications and providing certainty and clarity about activities that are the subject of a determination.</w:t>
      </w:r>
    </w:p>
    <w:p w14:paraId="0F1971DE" w14:textId="77777777" w:rsidR="009B68AA" w:rsidRPr="00177D26" w:rsidRDefault="009B68AA" w:rsidP="009B68AA">
      <w:pPr>
        <w:pStyle w:val="ListParagraph"/>
        <w:numPr>
          <w:ilvl w:val="0"/>
          <w:numId w:val="27"/>
        </w:numPr>
        <w:spacing w:before="0" w:after="200" w:line="276" w:lineRule="auto"/>
        <w:ind w:left="709"/>
        <w:rPr>
          <w:sz w:val="22"/>
        </w:rPr>
      </w:pPr>
      <w:r w:rsidRPr="00177D26">
        <w:rPr>
          <w:sz w:val="22"/>
        </w:rPr>
        <w:t>This first determination will cover Phase 0, I, II and III clinical trials for an unapproved therapeutic good (Determination (No. 1) 2021)</w:t>
      </w:r>
    </w:p>
    <w:p w14:paraId="5E3209D8" w14:textId="77777777" w:rsidR="009B68AA" w:rsidRPr="00177D26" w:rsidRDefault="009B68AA" w:rsidP="009B68AA">
      <w:pPr>
        <w:pStyle w:val="ListParagraph"/>
        <w:numPr>
          <w:ilvl w:val="0"/>
          <w:numId w:val="29"/>
        </w:numPr>
        <w:spacing w:before="0" w:after="200" w:line="276" w:lineRule="auto"/>
        <w:rPr>
          <w:sz w:val="22"/>
        </w:rPr>
      </w:pPr>
      <w:r w:rsidRPr="00177D26">
        <w:rPr>
          <w:sz w:val="22"/>
        </w:rPr>
        <w:t>Consultation scheduled to commence in November 2021</w:t>
      </w:r>
    </w:p>
    <w:p w14:paraId="40B08626" w14:textId="77777777" w:rsidR="009B68AA" w:rsidRPr="00177D26" w:rsidRDefault="009B68AA" w:rsidP="009B68AA">
      <w:pPr>
        <w:pStyle w:val="ListParagraph"/>
        <w:numPr>
          <w:ilvl w:val="0"/>
          <w:numId w:val="29"/>
        </w:numPr>
        <w:spacing w:before="0" w:after="200" w:line="276" w:lineRule="auto"/>
        <w:rPr>
          <w:sz w:val="22"/>
        </w:rPr>
      </w:pPr>
      <w:r w:rsidRPr="00177D26">
        <w:rPr>
          <w:sz w:val="22"/>
        </w:rPr>
        <w:t>Expect to publish in February 2022</w:t>
      </w:r>
    </w:p>
    <w:p w14:paraId="4F17421C" w14:textId="77777777" w:rsidR="009B68AA" w:rsidRPr="00177D26" w:rsidRDefault="009B68AA" w:rsidP="009B68AA">
      <w:pPr>
        <w:pStyle w:val="ListParagraph"/>
        <w:numPr>
          <w:ilvl w:val="0"/>
          <w:numId w:val="36"/>
        </w:numPr>
        <w:spacing w:before="0" w:after="200" w:line="276" w:lineRule="auto"/>
        <w:rPr>
          <w:rStyle w:val="normaltextrun1"/>
          <w:rFonts w:cstheme="minorHAnsi"/>
          <w:sz w:val="22"/>
        </w:rPr>
      </w:pPr>
      <w:r w:rsidRPr="00177D26">
        <w:rPr>
          <w:rStyle w:val="normaltextrun1"/>
          <w:rFonts w:ascii="Calibri" w:hAnsi="Calibri" w:cs="Calibri"/>
          <w:sz w:val="22"/>
        </w:rPr>
        <w:t xml:space="preserve">Determinations were introduced by the </w:t>
      </w:r>
      <w:r w:rsidRPr="00177D26">
        <w:rPr>
          <w:rStyle w:val="normaltextrun1"/>
          <w:rFonts w:ascii="Calibri" w:hAnsi="Calibri" w:cs="Calibri"/>
          <w:i/>
          <w:iCs/>
          <w:sz w:val="22"/>
        </w:rPr>
        <w:t>Treasury Laws amendment (A Tax Plan for the COVID-19 Economic Recovery) Act 2020</w:t>
      </w:r>
      <w:r w:rsidRPr="00177D26">
        <w:rPr>
          <w:rStyle w:val="normaltextrun1"/>
          <w:rFonts w:ascii="Calibri" w:hAnsi="Calibri" w:cs="Calibri"/>
          <w:sz w:val="22"/>
        </w:rPr>
        <w:t xml:space="preserve">, from 1 January 2021. Section 6A: section 31D provides the legislative provisions to </w:t>
      </w:r>
      <w:bookmarkStart w:id="18" w:name="_GoBack"/>
      <w:r w:rsidRPr="00177D26">
        <w:rPr>
          <w:rStyle w:val="normaltextrun1"/>
          <w:rFonts w:ascii="Calibri" w:hAnsi="Calibri" w:cs="Calibri"/>
          <w:sz w:val="22"/>
        </w:rPr>
        <w:t>make, amend and revoke determinations. </w:t>
      </w:r>
    </w:p>
    <w:p w14:paraId="4A501200" w14:textId="77777777" w:rsidR="009B68AA" w:rsidRPr="00177D26" w:rsidRDefault="009B68AA" w:rsidP="009B68AA">
      <w:pPr>
        <w:pStyle w:val="ListParagraph"/>
        <w:numPr>
          <w:ilvl w:val="0"/>
          <w:numId w:val="36"/>
        </w:numPr>
        <w:spacing w:before="0" w:after="200" w:line="276" w:lineRule="auto"/>
        <w:rPr>
          <w:rFonts w:cstheme="minorHAnsi"/>
          <w:sz w:val="22"/>
        </w:rPr>
      </w:pPr>
      <w:r w:rsidRPr="00177D26">
        <w:rPr>
          <w:rStyle w:val="normaltextrun1"/>
          <w:rFonts w:ascii="Calibri" w:hAnsi="Calibri" w:cs="Calibri"/>
          <w:sz w:val="22"/>
        </w:rPr>
        <w:t>Once finalised and published, it is expected that t</w:t>
      </w:r>
      <w:r w:rsidRPr="00177D26">
        <w:rPr>
          <w:rFonts w:cstheme="minorHAnsi"/>
          <w:sz w:val="22"/>
        </w:rPr>
        <w:t xml:space="preserve">he Board will be able to make findings that phase 0, I, II and III clinical trials for an unapproved therapeutic good that are correctly notified and approved under certain sections of the </w:t>
      </w:r>
      <w:r w:rsidRPr="00177D26">
        <w:rPr>
          <w:rFonts w:cstheme="minorHAnsi"/>
          <w:i/>
          <w:sz w:val="22"/>
        </w:rPr>
        <w:t>Therapeutic Goods Regulations 1990</w:t>
      </w:r>
      <w:r w:rsidRPr="00177D26">
        <w:rPr>
          <w:rFonts w:cstheme="minorHAnsi"/>
          <w:sz w:val="22"/>
        </w:rPr>
        <w:t xml:space="preserve">, </w:t>
      </w:r>
      <w:r w:rsidRPr="00177D26">
        <w:rPr>
          <w:rFonts w:cstheme="minorHAnsi"/>
          <w:i/>
          <w:sz w:val="22"/>
        </w:rPr>
        <w:t>Therapeutic Goods (Medical Devices) Regulations 2002</w:t>
      </w:r>
      <w:r w:rsidRPr="00177D26">
        <w:rPr>
          <w:rFonts w:cstheme="minorHAnsi"/>
          <w:sz w:val="22"/>
        </w:rPr>
        <w:t xml:space="preserve">, </w:t>
      </w:r>
      <w:bookmarkEnd w:id="18"/>
      <w:r w:rsidRPr="00177D26">
        <w:rPr>
          <w:rFonts w:cstheme="minorHAnsi"/>
          <w:sz w:val="22"/>
        </w:rPr>
        <w:t xml:space="preserve">or </w:t>
      </w:r>
      <w:r w:rsidRPr="00177D26">
        <w:rPr>
          <w:rFonts w:cstheme="minorHAnsi"/>
          <w:i/>
          <w:sz w:val="22"/>
        </w:rPr>
        <w:t>Therapeutic Goods Act 1989</w:t>
      </w:r>
      <w:r w:rsidRPr="00177D26">
        <w:rPr>
          <w:rFonts w:cstheme="minorHAnsi"/>
          <w:sz w:val="22"/>
        </w:rPr>
        <w:t xml:space="preserve"> will be core R&amp;D activities.</w:t>
      </w:r>
    </w:p>
    <w:p w14:paraId="7CCF5E11" w14:textId="77777777" w:rsidR="009B68AA" w:rsidRPr="00177D26" w:rsidRDefault="009B68AA" w:rsidP="009B68AA">
      <w:pPr>
        <w:pStyle w:val="ListParagraph"/>
        <w:numPr>
          <w:ilvl w:val="0"/>
          <w:numId w:val="36"/>
        </w:numPr>
        <w:spacing w:before="0" w:after="200" w:line="276" w:lineRule="auto"/>
        <w:rPr>
          <w:rFonts w:eastAsia="Times New Roman" w:cstheme="minorHAnsi"/>
          <w:b/>
          <w:sz w:val="22"/>
          <w:u w:val="single"/>
          <w:lang w:eastAsia="en-AU"/>
        </w:rPr>
      </w:pPr>
      <w:r w:rsidRPr="00177D26">
        <w:rPr>
          <w:rFonts w:cstheme="minorHAnsi"/>
          <w:sz w:val="22"/>
        </w:rPr>
        <w:t>An additional benefit of the clinical trials determination is the opportunity to complement compliance work by the Department of Health and support efforts to attract more Clinical Trials to Australia.</w:t>
      </w:r>
    </w:p>
    <w:p w14:paraId="3A58AABC" w14:textId="2A3AD6F9" w:rsidR="009B68AA" w:rsidRPr="00177D26" w:rsidRDefault="009B68AA" w:rsidP="008346FF">
      <w:pPr>
        <w:pStyle w:val="Heading2"/>
        <w:numPr>
          <w:ilvl w:val="0"/>
          <w:numId w:val="45"/>
        </w:numPr>
        <w:rPr>
          <w:lang w:eastAsia="en-AU"/>
        </w:rPr>
      </w:pPr>
      <w:r w:rsidRPr="00177D26">
        <w:rPr>
          <w:lang w:eastAsia="en-AU"/>
        </w:rPr>
        <w:t xml:space="preserve">Program Guidance </w:t>
      </w:r>
    </w:p>
    <w:p w14:paraId="769AD22C" w14:textId="783BD077" w:rsidR="009B68AA" w:rsidRDefault="008346FF" w:rsidP="009B68AA">
      <w:pPr>
        <w:rPr>
          <w:rFonts w:eastAsia="SimSun" w:cstheme="minorHAnsi"/>
          <w:color w:val="000000"/>
          <w:sz w:val="22"/>
          <w:szCs w:val="22"/>
        </w:rPr>
      </w:pPr>
      <w:r w:rsidRPr="008346FF">
        <w:rPr>
          <w:rFonts w:eastAsiaTheme="majorEastAsia" w:cstheme="minorHAnsi"/>
          <w:bCs/>
          <w:sz w:val="22"/>
          <w:szCs w:val="22"/>
        </w:rPr>
        <w:t xml:space="preserve">Chris Enders (AusIndustry) provided an update on </w:t>
      </w:r>
      <w:r w:rsidR="009B68AA" w:rsidRPr="008346FF">
        <w:rPr>
          <w:rFonts w:eastAsiaTheme="majorEastAsia" w:cstheme="minorHAnsi"/>
          <w:bCs/>
          <w:sz w:val="22"/>
          <w:szCs w:val="22"/>
        </w:rPr>
        <w:t xml:space="preserve">new </w:t>
      </w:r>
      <w:r w:rsidR="009B68AA" w:rsidRPr="008346FF">
        <w:rPr>
          <w:rFonts w:eastAsia="SimSun" w:cstheme="minorHAnsi"/>
          <w:color w:val="000000"/>
          <w:sz w:val="22"/>
          <w:szCs w:val="22"/>
        </w:rPr>
        <w:t xml:space="preserve">guidance on software-related activities: </w:t>
      </w:r>
    </w:p>
    <w:p w14:paraId="2D8D4276" w14:textId="77777777" w:rsidR="00E87E90" w:rsidRPr="008346FF" w:rsidRDefault="00E87E90" w:rsidP="00E87E90">
      <w:pPr>
        <w:spacing w:before="0"/>
        <w:rPr>
          <w:rFonts w:cstheme="minorHAnsi"/>
          <w:sz w:val="22"/>
          <w:szCs w:val="22"/>
          <w:lang w:eastAsia="en-AU"/>
        </w:rPr>
      </w:pPr>
    </w:p>
    <w:p w14:paraId="2C7DE70F" w14:textId="33EC6B7D" w:rsidR="009B68AA" w:rsidRPr="008346FF" w:rsidRDefault="009B68AA" w:rsidP="009B68AA">
      <w:pPr>
        <w:pStyle w:val="ListParagraph"/>
        <w:numPr>
          <w:ilvl w:val="0"/>
          <w:numId w:val="39"/>
        </w:numPr>
        <w:spacing w:before="0" w:after="200" w:line="276" w:lineRule="auto"/>
        <w:rPr>
          <w:rFonts w:cstheme="minorHAnsi"/>
          <w:sz w:val="22"/>
          <w:szCs w:val="22"/>
          <w:lang w:eastAsia="en-AU"/>
        </w:rPr>
      </w:pPr>
      <w:r w:rsidRPr="008346FF">
        <w:rPr>
          <w:rFonts w:cstheme="minorHAnsi"/>
          <w:sz w:val="22"/>
          <w:szCs w:val="22"/>
          <w:lang w:eastAsia="en-AU"/>
        </w:rPr>
        <w:t xml:space="preserve">A collaborative workshop </w:t>
      </w:r>
      <w:r w:rsidR="00E87E90">
        <w:rPr>
          <w:rFonts w:cstheme="minorHAnsi"/>
          <w:sz w:val="22"/>
          <w:szCs w:val="22"/>
          <w:lang w:eastAsia="en-AU"/>
        </w:rPr>
        <w:t xml:space="preserve">was held </w:t>
      </w:r>
      <w:r w:rsidR="00E87E90" w:rsidRPr="008346FF">
        <w:rPr>
          <w:rFonts w:cstheme="minorHAnsi"/>
          <w:sz w:val="22"/>
          <w:szCs w:val="22"/>
          <w:lang w:eastAsia="en-AU"/>
        </w:rPr>
        <w:t>on 28 April 2021</w:t>
      </w:r>
      <w:r w:rsidR="00E87E90">
        <w:rPr>
          <w:rFonts w:cstheme="minorHAnsi"/>
          <w:sz w:val="22"/>
          <w:szCs w:val="22"/>
          <w:lang w:eastAsia="en-AU"/>
        </w:rPr>
        <w:t xml:space="preserve"> </w:t>
      </w:r>
      <w:r w:rsidRPr="008346FF">
        <w:rPr>
          <w:rFonts w:cstheme="minorHAnsi"/>
          <w:sz w:val="22"/>
          <w:szCs w:val="22"/>
          <w:lang w:eastAsia="en-AU"/>
        </w:rPr>
        <w:t>between government and industry to improve the two-way understanding of how software is developed and how it is recognised within the R&amp;DTI program</w:t>
      </w:r>
      <w:r w:rsidR="00E87E90">
        <w:rPr>
          <w:rFonts w:cstheme="minorHAnsi"/>
          <w:sz w:val="22"/>
          <w:szCs w:val="22"/>
          <w:lang w:eastAsia="en-AU"/>
        </w:rPr>
        <w:t xml:space="preserve">. </w:t>
      </w:r>
      <w:r w:rsidRPr="008346FF">
        <w:rPr>
          <w:rFonts w:cstheme="minorHAnsi"/>
          <w:sz w:val="22"/>
          <w:szCs w:val="22"/>
          <w:lang w:eastAsia="en-AU"/>
        </w:rPr>
        <w:t>Participants identified a number of opportunities to work together to improve software-related guidance products.</w:t>
      </w:r>
    </w:p>
    <w:p w14:paraId="7515F4B3" w14:textId="77777777" w:rsidR="009B68AA" w:rsidRPr="008346FF" w:rsidRDefault="009B68AA" w:rsidP="009B68AA">
      <w:pPr>
        <w:pStyle w:val="ListParagraph"/>
        <w:numPr>
          <w:ilvl w:val="0"/>
          <w:numId w:val="39"/>
        </w:numPr>
        <w:spacing w:before="0" w:after="200" w:line="276" w:lineRule="auto"/>
        <w:rPr>
          <w:rFonts w:cstheme="minorHAnsi"/>
          <w:sz w:val="22"/>
          <w:szCs w:val="22"/>
          <w:lang w:eastAsia="en-AU"/>
        </w:rPr>
      </w:pPr>
      <w:r w:rsidRPr="008346FF">
        <w:rPr>
          <w:rFonts w:cstheme="minorHAnsi"/>
          <w:sz w:val="22"/>
          <w:szCs w:val="22"/>
          <w:lang w:eastAsia="en-AU"/>
        </w:rPr>
        <w:t xml:space="preserve">A draft software guide </w:t>
      </w:r>
      <w:r w:rsidRPr="008346FF">
        <w:rPr>
          <w:rFonts w:cstheme="minorHAnsi"/>
          <w:i/>
          <w:sz w:val="22"/>
          <w:szCs w:val="22"/>
          <w:lang w:eastAsia="en-AU"/>
        </w:rPr>
        <w:t>‘Software development activities and the R&amp;D Tax Incentive’</w:t>
      </w:r>
      <w:r w:rsidRPr="008346FF">
        <w:rPr>
          <w:rFonts w:cstheme="minorHAnsi"/>
          <w:sz w:val="22"/>
          <w:szCs w:val="22"/>
          <w:lang w:eastAsia="en-AU"/>
        </w:rPr>
        <w:t xml:space="preserve"> was published on the department’s Consultation Hub from 17 May to 18 June 2021 for feedback.</w:t>
      </w:r>
    </w:p>
    <w:p w14:paraId="66597774" w14:textId="77777777" w:rsidR="009B68AA" w:rsidRPr="008346FF" w:rsidRDefault="009B68AA" w:rsidP="009B68AA">
      <w:pPr>
        <w:pStyle w:val="ListParagraph"/>
        <w:numPr>
          <w:ilvl w:val="0"/>
          <w:numId w:val="39"/>
        </w:numPr>
        <w:spacing w:before="0" w:after="200" w:line="276" w:lineRule="auto"/>
        <w:rPr>
          <w:rFonts w:cstheme="minorHAnsi"/>
          <w:sz w:val="22"/>
          <w:szCs w:val="22"/>
          <w:lang w:eastAsia="en-AU"/>
        </w:rPr>
      </w:pPr>
      <w:r w:rsidRPr="008346FF">
        <w:rPr>
          <w:rFonts w:cstheme="minorHAnsi"/>
          <w:sz w:val="22"/>
          <w:szCs w:val="22"/>
          <w:lang w:eastAsia="en-AU"/>
        </w:rPr>
        <w:t>A second workshop on 11 August 2021 focussed on record keeping to demonstrate eligibility of software-related R&amp;D activities and expenditure incurred on those activities.</w:t>
      </w:r>
    </w:p>
    <w:p w14:paraId="114883DF" w14:textId="77777777" w:rsidR="009B68AA" w:rsidRPr="008346FF" w:rsidRDefault="009B68AA" w:rsidP="009B68AA">
      <w:pPr>
        <w:pStyle w:val="ListParagraph"/>
        <w:numPr>
          <w:ilvl w:val="0"/>
          <w:numId w:val="39"/>
        </w:numPr>
        <w:spacing w:before="0" w:after="200" w:line="276" w:lineRule="auto"/>
        <w:rPr>
          <w:rFonts w:cstheme="minorHAnsi"/>
          <w:sz w:val="22"/>
          <w:szCs w:val="22"/>
          <w:lang w:eastAsia="en-AU"/>
        </w:rPr>
      </w:pPr>
      <w:r w:rsidRPr="008346FF">
        <w:rPr>
          <w:rFonts w:cstheme="minorHAnsi"/>
          <w:sz w:val="22"/>
          <w:szCs w:val="22"/>
          <w:lang w:eastAsia="en-AU"/>
        </w:rPr>
        <w:t>A modular approach will be taken to develop software guidance to enable early release of a core product (module 1) with additional guidance being released as developed. Indicative timing for anticipated modules:</w:t>
      </w:r>
    </w:p>
    <w:p w14:paraId="25F7B69D" w14:textId="77777777" w:rsidR="009B68AA" w:rsidRPr="008346FF" w:rsidRDefault="009B68AA" w:rsidP="009B68AA">
      <w:pPr>
        <w:pStyle w:val="ListParagraph"/>
        <w:numPr>
          <w:ilvl w:val="0"/>
          <w:numId w:val="37"/>
        </w:numPr>
        <w:spacing w:before="0" w:after="200" w:line="276" w:lineRule="auto"/>
        <w:rPr>
          <w:rFonts w:cstheme="minorHAnsi"/>
          <w:sz w:val="22"/>
          <w:szCs w:val="22"/>
          <w:lang w:eastAsia="en-AU"/>
        </w:rPr>
      </w:pPr>
      <w:r w:rsidRPr="008346FF">
        <w:rPr>
          <w:rFonts w:cstheme="minorHAnsi"/>
          <w:sz w:val="22"/>
          <w:szCs w:val="22"/>
          <w:lang w:eastAsia="en-AU"/>
        </w:rPr>
        <w:t>December 2021 Module 1 - finalised version of the draft that was published for consultation</w:t>
      </w:r>
    </w:p>
    <w:p w14:paraId="2B256C25" w14:textId="77777777" w:rsidR="009B68AA" w:rsidRPr="008346FF" w:rsidRDefault="009B68AA" w:rsidP="009B68AA">
      <w:pPr>
        <w:pStyle w:val="ListParagraph"/>
        <w:numPr>
          <w:ilvl w:val="0"/>
          <w:numId w:val="37"/>
        </w:numPr>
        <w:spacing w:before="0" w:after="200" w:line="276" w:lineRule="auto"/>
        <w:rPr>
          <w:rFonts w:cstheme="minorHAnsi"/>
          <w:sz w:val="22"/>
          <w:szCs w:val="22"/>
          <w:lang w:eastAsia="en-AU"/>
        </w:rPr>
      </w:pPr>
      <w:r w:rsidRPr="008346FF">
        <w:rPr>
          <w:rFonts w:cstheme="minorHAnsi"/>
          <w:sz w:val="22"/>
          <w:szCs w:val="22"/>
          <w:lang w:eastAsia="en-AU"/>
        </w:rPr>
        <w:t>June 2022 Module 2 - guide to record-keeping ​</w:t>
      </w:r>
    </w:p>
    <w:p w14:paraId="55B28961" w14:textId="77777777" w:rsidR="009B68AA" w:rsidRPr="008346FF" w:rsidRDefault="009B68AA" w:rsidP="009B68AA">
      <w:pPr>
        <w:pStyle w:val="ListParagraph"/>
        <w:numPr>
          <w:ilvl w:val="0"/>
          <w:numId w:val="37"/>
        </w:numPr>
        <w:spacing w:before="0" w:after="200" w:line="276" w:lineRule="auto"/>
        <w:rPr>
          <w:rFonts w:cstheme="minorHAnsi"/>
          <w:sz w:val="22"/>
          <w:szCs w:val="22"/>
          <w:lang w:eastAsia="en-AU"/>
        </w:rPr>
      </w:pPr>
      <w:r w:rsidRPr="008346FF">
        <w:rPr>
          <w:rFonts w:cstheme="minorHAnsi"/>
          <w:sz w:val="22"/>
          <w:szCs w:val="22"/>
          <w:lang w:eastAsia="en-AU"/>
        </w:rPr>
        <w:t>August 2022 Module 3 - cases studies and examples of classes software-related activities​</w:t>
      </w:r>
    </w:p>
    <w:p w14:paraId="3D4D2215" w14:textId="77777777" w:rsidR="009B68AA" w:rsidRPr="008346FF" w:rsidRDefault="009B68AA" w:rsidP="009B68AA">
      <w:pPr>
        <w:pStyle w:val="ListParagraph"/>
        <w:numPr>
          <w:ilvl w:val="0"/>
          <w:numId w:val="37"/>
        </w:numPr>
        <w:spacing w:before="0" w:after="200" w:line="276" w:lineRule="auto"/>
        <w:rPr>
          <w:rFonts w:cstheme="minorHAnsi"/>
          <w:sz w:val="22"/>
          <w:szCs w:val="22"/>
          <w:lang w:eastAsia="en-AU"/>
        </w:rPr>
      </w:pPr>
      <w:r w:rsidRPr="008346FF">
        <w:rPr>
          <w:rFonts w:cstheme="minorHAnsi"/>
          <w:sz w:val="22"/>
          <w:szCs w:val="22"/>
          <w:lang w:eastAsia="en-AU"/>
        </w:rPr>
        <w:t>September 2022 Module 4: How to register for the R&amp;DTI (software-specific video product)​</w:t>
      </w:r>
    </w:p>
    <w:p w14:paraId="53216348" w14:textId="7C3B0FD1" w:rsidR="009B68AA" w:rsidRPr="008346FF" w:rsidRDefault="009B68AA" w:rsidP="008346FF">
      <w:pPr>
        <w:pStyle w:val="Heading2"/>
        <w:numPr>
          <w:ilvl w:val="0"/>
          <w:numId w:val="45"/>
        </w:numPr>
      </w:pPr>
      <w:r w:rsidRPr="008346FF">
        <w:t xml:space="preserve">SRG Participation Survey </w:t>
      </w:r>
    </w:p>
    <w:p w14:paraId="42EAB153" w14:textId="77777777" w:rsidR="009B68AA" w:rsidRPr="008346FF" w:rsidRDefault="009B68AA" w:rsidP="009B68AA">
      <w:pPr>
        <w:spacing w:after="0" w:line="240" w:lineRule="auto"/>
        <w:rPr>
          <w:rFonts w:eastAsia="SimSun" w:cstheme="minorHAnsi"/>
          <w:color w:val="000000"/>
          <w:sz w:val="22"/>
        </w:rPr>
      </w:pPr>
      <w:r w:rsidRPr="008346FF">
        <w:rPr>
          <w:rFonts w:eastAsia="SimSun" w:cstheme="minorHAnsi"/>
          <w:color w:val="000000"/>
          <w:sz w:val="22"/>
        </w:rPr>
        <w:t>SRG participants were invited to complete a survey to assist the future planning of SRGs and to advise on topics of interest. Participants were also invited to complete an in-session feedback poll at the end of the meeting.</w:t>
      </w:r>
    </w:p>
    <w:p w14:paraId="40A193C5" w14:textId="77777777" w:rsidR="009B68AA" w:rsidRDefault="009B68AA" w:rsidP="009B68AA">
      <w:pPr>
        <w:spacing w:after="0" w:line="240" w:lineRule="auto"/>
        <w:rPr>
          <w:rFonts w:eastAsia="SimSun" w:cstheme="minorHAnsi"/>
          <w:color w:val="000000"/>
        </w:rPr>
      </w:pPr>
    </w:p>
    <w:p w14:paraId="11AEC582" w14:textId="649E0B2A" w:rsidR="009B68AA" w:rsidRPr="008346FF" w:rsidRDefault="008346FF" w:rsidP="008346FF">
      <w:pPr>
        <w:jc w:val="center"/>
        <w:rPr>
          <w:rFonts w:cstheme="minorHAnsi"/>
          <w:b/>
          <w:sz w:val="22"/>
        </w:rPr>
      </w:pPr>
      <w:r w:rsidRPr="008346FF">
        <w:rPr>
          <w:rFonts w:cstheme="minorHAnsi"/>
          <w:b/>
          <w:sz w:val="22"/>
        </w:rPr>
        <w:t>End of Summary</w:t>
      </w:r>
    </w:p>
    <w:p w14:paraId="449C088C" w14:textId="77777777" w:rsidR="000200EB" w:rsidRDefault="000200EB" w:rsidP="0004484A">
      <w:pPr>
        <w:rPr>
          <w:b/>
        </w:rPr>
      </w:pPr>
    </w:p>
    <w:p w14:paraId="291CC808" w14:textId="77777777" w:rsidR="000200EB" w:rsidRPr="000200EB" w:rsidRDefault="000200EB" w:rsidP="0004484A">
      <w:pPr>
        <w:rPr>
          <w:b/>
        </w:rPr>
      </w:pPr>
    </w:p>
    <w:sectPr w:rsidR="000200EB" w:rsidRPr="000200EB" w:rsidSect="00500289">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68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35687" w14:textId="77777777" w:rsidR="000455F2" w:rsidRDefault="000455F2" w:rsidP="00D560DC">
      <w:pPr>
        <w:spacing w:before="0" w:after="0" w:line="240" w:lineRule="auto"/>
      </w:pPr>
      <w:r>
        <w:separator/>
      </w:r>
    </w:p>
  </w:endnote>
  <w:endnote w:type="continuationSeparator" w:id="0">
    <w:p w14:paraId="44C1841F" w14:textId="77777777" w:rsidR="000455F2" w:rsidRDefault="000455F2" w:rsidP="00D560DC">
      <w:pPr>
        <w:spacing w:before="0" w:after="0" w:line="240" w:lineRule="auto"/>
      </w:pPr>
      <w:r>
        <w:continuationSeparator/>
      </w:r>
    </w:p>
  </w:endnote>
  <w:endnote w:type="continuationNotice" w:id="1">
    <w:p w14:paraId="3350AA04" w14:textId="77777777" w:rsidR="002355AD" w:rsidRDefault="002355A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923E4" w14:textId="77777777" w:rsidR="0009719C" w:rsidRDefault="000971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5FA9D" w14:textId="77777777" w:rsidR="000455F2" w:rsidRDefault="0039793D" w:rsidP="0039793D">
    <w:pPr>
      <w:pStyle w:val="Footer"/>
    </w:pPr>
    <w:r>
      <w:rPr>
        <w:noProof/>
        <w:lang w:eastAsia="en-AU"/>
      </w:rPr>
      <mc:AlternateContent>
        <mc:Choice Requires="wps">
          <w:drawing>
            <wp:anchor distT="0" distB="0" distL="114300" distR="114300" simplePos="0" relativeHeight="251667456" behindDoc="0" locked="0" layoutInCell="1" allowOverlap="1" wp14:anchorId="0087BB5A" wp14:editId="722B277C">
              <wp:simplePos x="0" y="0"/>
              <wp:positionH relativeFrom="page">
                <wp:align>right</wp:align>
              </wp:positionH>
              <wp:positionV relativeFrom="page">
                <wp:align>bottom</wp:align>
              </wp:positionV>
              <wp:extent cx="1080000" cy="468000"/>
              <wp:effectExtent l="0" t="0" r="0" b="0"/>
              <wp:wrapNone/>
              <wp:docPr id="21" name="Text Box 21">
                <a:extLst xmlns:a="http://schemas.openxmlformats.org/drawingml/2006/main">
                  <a:ext uri="{C183D7F6-B498-43B3-948B-1728B52AA6E4}">
                    <adec:decorative xmlns:pic="http://schemas.openxmlformats.org/drawingml/2006/picture" xmlns:a14="http://schemas.microsoft.com/office/drawing/2010/main"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txBox="1"/>
                    <wps:spPr>
                      <a:xfrm>
                        <a:off x="0" y="0"/>
                        <a:ext cx="1080000" cy="468000"/>
                      </a:xfrm>
                      <a:prstGeom prst="rect">
                        <a:avLst/>
                      </a:prstGeom>
                      <a:noFill/>
                      <a:ln w="6350">
                        <a:noFill/>
                      </a:ln>
                    </wps:spPr>
                    <wps:txbx>
                      <w:txbxContent>
                        <w:p w14:paraId="45304E10" w14:textId="77777777" w:rsidR="000455F2" w:rsidRDefault="000455F2" w:rsidP="0039793D">
                          <w:pPr>
                            <w:jc w:val="right"/>
                          </w:pPr>
                          <w:r>
                            <w:fldChar w:fldCharType="begin"/>
                          </w:r>
                          <w:r>
                            <w:instrText xml:space="preserve"> PAGE   \* MERGEFORMAT </w:instrText>
                          </w:r>
                          <w:r>
                            <w:fldChar w:fldCharType="separate"/>
                          </w:r>
                          <w:r w:rsidR="00F844E4">
                            <w:rPr>
                              <w:noProof/>
                            </w:rPr>
                            <w:t>6</w:t>
                          </w:r>
                          <w:r>
                            <w:rPr>
                              <w:noProof/>
                            </w:rPr>
                            <w:fldChar w:fldCharType="end"/>
                          </w:r>
                        </w:p>
                      </w:txbxContent>
                    </wps:txbx>
                    <wps:bodyPr rot="0" spcFirstLastPara="0" vertOverflow="overflow" horzOverflow="overflow" vert="horz" wrap="square" lIns="0" tIns="0" rIns="648000" bIns="1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7BB5A" id="_x0000_t202" coordsize="21600,21600" o:spt="202" path="m,l,21600r21600,l21600,xe">
              <v:stroke joinstyle="miter"/>
              <v:path gradientshapeok="t" o:connecttype="rect"/>
            </v:shapetype>
            <v:shape id="Text Box 21" o:spid="_x0000_s1026" type="#_x0000_t202" style="position:absolute;margin-left:33.85pt;margin-top:0;width:85.05pt;height:36.85pt;z-index:25166745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" filled="f" stroked="f" strokeweight=".5pt">
              <v:textbox inset="0,0,18mm,5mm">
                <w:txbxContent>
                  <w:p w14:paraId="45304E10" w14:textId="77777777" w:rsidR="000455F2" w:rsidRDefault="000455F2" w:rsidP="0039793D">
                    <w:pPr>
                      <w:jc w:val="right"/>
                    </w:pPr>
                    <w:r>
                      <w:fldChar w:fldCharType="begin"/>
                    </w:r>
                    <w:r>
                      <w:instrText xml:space="preserve"> PAGE   \* MERGEFORMAT </w:instrText>
                    </w:r>
                    <w:r>
                      <w:fldChar w:fldCharType="separate"/>
                    </w:r>
                    <w:r w:rsidR="00F844E4">
                      <w:rPr>
                        <w:noProof/>
                      </w:rPr>
                      <w:t>6</w:t>
                    </w:r>
                    <w:r>
                      <w:rPr>
                        <w:noProof/>
                      </w:rPr>
                      <w:fldChar w:fldCharType="end"/>
                    </w:r>
                  </w:p>
                </w:txbxContent>
              </v:textbox>
              <w10:wrap anchorx="page" anchory="page"/>
            </v:shape>
          </w:pict>
        </mc:Fallback>
      </mc:AlternateContent>
    </w:r>
    <w:r>
      <w:rPr>
        <w:noProof/>
        <w:lang w:eastAsia="en-AU"/>
      </w:rPr>
      <w:drawing>
        <wp:inline distT="0" distB="0" distL="0" distR="0" wp14:anchorId="7C96BE4D" wp14:editId="3E0F77E6">
          <wp:extent cx="6912000" cy="110015"/>
          <wp:effectExtent l="0" t="0" r="0" b="4445"/>
          <wp:docPr id="7" name="Picture 7">
            <a:extLst xmlns:a="http://schemas.openxmlformats.org/drawingml/2006/main">
              <a:ext uri="{C183D7F6-B498-43B3-948B-1728B52AA6E4}">
                <adec:decorative xmlns:pic="http://schemas.openxmlformats.org/drawingml/2006/picture" xmlns:a14="http://schemas.microsoft.com/office/drawing/2010/main"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Gs-12.jpg"/>
                  <pic:cNvPicPr/>
                </pic:nvPicPr>
                <pic:blipFill>
                  <a:blip r:embed="rId1">
                    <a:extLst>
                      <a:ext uri="{28A0092B-C50C-407E-A947-70E740481C1C}">
                        <a14:useLocalDpi xmlns:a14="http://schemas.microsoft.com/office/drawing/2010/main" val="0"/>
                      </a:ext>
                    </a:extLst>
                  </a:blip>
                  <a:stretch>
                    <a:fillRect/>
                  </a:stretch>
                </pic:blipFill>
                <pic:spPr>
                  <a:xfrm>
                    <a:off x="0" y="0"/>
                    <a:ext cx="6912000" cy="110015"/>
                  </a:xfrm>
                  <a:prstGeom prst="rect">
                    <a:avLst/>
                  </a:prstGeom>
                </pic:spPr>
              </pic:pic>
            </a:graphicData>
          </a:graphic>
        </wp:inline>
      </w:drawing>
    </w:r>
  </w:p>
  <w:p w14:paraId="412C2550" w14:textId="01EC3142" w:rsidR="000455F2" w:rsidRPr="0039793D" w:rsidRDefault="000A1C04" w:rsidP="0039793D">
    <w:pPr>
      <w:pStyle w:val="Footer"/>
      <w:rPr>
        <w:color w:val="264F90" w:themeColor="accent2"/>
      </w:rPr>
    </w:pPr>
    <w:r>
      <w:rPr>
        <w:color w:val="264F90" w:themeColor="accent2"/>
      </w:rPr>
      <w:t xml:space="preserve">     </w:t>
    </w:r>
    <w:r w:rsidR="00F844E4">
      <w:rPr>
        <w:color w:val="auto"/>
      </w:rP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64BC7" w14:textId="26A0D06C" w:rsidR="000455F2" w:rsidRDefault="0039793D" w:rsidP="00D560DC">
    <w:pPr>
      <w:pStyle w:val="Footer"/>
    </w:pPr>
    <w:r>
      <w:rPr>
        <w:noProof/>
        <w:lang w:eastAsia="en-AU"/>
      </w:rPr>
      <w:drawing>
        <wp:inline distT="0" distB="0" distL="0" distR="0" wp14:anchorId="1600DF1D" wp14:editId="02687902">
          <wp:extent cx="6912000" cy="110015"/>
          <wp:effectExtent l="0" t="0" r="0" b="4445"/>
          <wp:docPr id="9" name="Picture 9">
            <a:extLst xmlns:a="http://schemas.openxmlformats.org/drawingml/2006/main">
              <a:ext uri="{C183D7F6-B498-43B3-948B-1728B52AA6E4}">
                <adec:decorative xmlns:pic="http://schemas.openxmlformats.org/drawingml/2006/picture" xmlns:a14="http://schemas.microsoft.com/office/drawing/2010/main"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Gs-12.jpg"/>
                  <pic:cNvPicPr/>
                </pic:nvPicPr>
                <pic:blipFill>
                  <a:blip r:embed="rId1">
                    <a:extLst>
                      <a:ext uri="{28A0092B-C50C-407E-A947-70E740481C1C}">
                        <a14:useLocalDpi xmlns:a14="http://schemas.microsoft.com/office/drawing/2010/main" val="0"/>
                      </a:ext>
                    </a:extLst>
                  </a:blip>
                  <a:stretch>
                    <a:fillRect/>
                  </a:stretch>
                </pic:blipFill>
                <pic:spPr>
                  <a:xfrm>
                    <a:off x="0" y="0"/>
                    <a:ext cx="6912000" cy="110015"/>
                  </a:xfrm>
                  <a:prstGeom prst="rect">
                    <a:avLst/>
                  </a:prstGeom>
                </pic:spPr>
              </pic:pic>
            </a:graphicData>
          </a:graphic>
        </wp:inline>
      </w:drawing>
    </w:r>
  </w:p>
  <w:p w14:paraId="5CE5F060" w14:textId="053A9655" w:rsidR="000455F2" w:rsidRPr="0039793D" w:rsidRDefault="000A1C04" w:rsidP="00D560DC">
    <w:pPr>
      <w:pStyle w:val="Footer"/>
      <w:rPr>
        <w:color w:val="264F90" w:themeColor="accent2"/>
      </w:rPr>
    </w:pPr>
    <w:r>
      <w:rPr>
        <w:color w:val="264F90" w:themeColor="accent2"/>
      </w:rPr>
      <w:t xml:space="preserve">     </w:t>
    </w:r>
    <w:r w:rsidR="00F844E4">
      <w:rPr>
        <w:color w:val="auto"/>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BC1BA" w14:textId="77777777" w:rsidR="000455F2" w:rsidRDefault="000455F2" w:rsidP="00D560DC">
      <w:pPr>
        <w:spacing w:before="0" w:after="0" w:line="240" w:lineRule="auto"/>
      </w:pPr>
      <w:r>
        <w:separator/>
      </w:r>
    </w:p>
  </w:footnote>
  <w:footnote w:type="continuationSeparator" w:id="0">
    <w:p w14:paraId="4883B592" w14:textId="77777777" w:rsidR="000455F2" w:rsidRDefault="000455F2" w:rsidP="00D560DC">
      <w:pPr>
        <w:spacing w:before="0" w:after="0" w:line="240" w:lineRule="auto"/>
      </w:pPr>
      <w:r>
        <w:continuationSeparator/>
      </w:r>
    </w:p>
  </w:footnote>
  <w:footnote w:type="continuationNotice" w:id="1">
    <w:p w14:paraId="25E75912" w14:textId="77777777" w:rsidR="002355AD" w:rsidRDefault="002355AD">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1808E" w14:textId="77777777" w:rsidR="0009719C" w:rsidRDefault="000971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E2A04" w14:textId="77777777" w:rsidR="0009719C" w:rsidRDefault="000971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48546" w14:textId="5C457C18" w:rsidR="000455F2" w:rsidRPr="00D560DC" w:rsidRDefault="000455F2" w:rsidP="000A1C04">
    <w:pPr>
      <w:pStyle w:val="Header"/>
    </w:pPr>
    <w:r>
      <w:rPr>
        <w:noProof/>
        <w:lang w:eastAsia="en-AU"/>
      </w:rPr>
      <w:drawing>
        <wp:inline distT="0" distB="0" distL="0" distR="0" wp14:anchorId="727789FE" wp14:editId="6EF5D480">
          <wp:extent cx="4097409" cy="624801"/>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Gov_DISER_BE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7409" cy="624801"/>
                  </a:xfrm>
                  <a:prstGeom prst="rect">
                    <a:avLst/>
                  </a:prstGeom>
                </pic:spPr>
              </pic:pic>
            </a:graphicData>
          </a:graphic>
        </wp:inline>
      </w:drawing>
    </w:r>
    <w:r w:rsidR="0039793D">
      <w:rPr>
        <w:noProof/>
        <w:lang w:eastAsia="en-AU"/>
      </w:rPr>
      <mc:AlternateContent>
        <mc:Choice Requires="wps">
          <w:drawing>
            <wp:anchor distT="0" distB="0" distL="114300" distR="114300" simplePos="0" relativeHeight="251663360" behindDoc="0" locked="0" layoutInCell="1" allowOverlap="1" wp14:anchorId="67E61CD2" wp14:editId="2E8BD89E">
              <wp:simplePos x="0" y="0"/>
              <wp:positionH relativeFrom="margin">
                <wp:align>right</wp:align>
              </wp:positionH>
              <wp:positionV relativeFrom="page">
                <wp:posOffset>1262380</wp:posOffset>
              </wp:positionV>
              <wp:extent cx="6845400" cy="0"/>
              <wp:effectExtent l="0" t="0" r="21590" b="19050"/>
              <wp:wrapNone/>
              <wp:docPr id="18" name="Straight Connector 18">
                <a:extLst xmlns:a="http://schemas.openxmlformats.org/drawingml/2006/main">
                  <a:ext uri="{C183D7F6-B498-43B3-948B-1728B52AA6E4}">
                    <adec:decorative xmlns:pic="http://schemas.openxmlformats.org/drawingml/2006/picture" xmlns:a14="http://schemas.microsoft.com/office/drawing/2010/main"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CnPr/>
                    <wps:spPr>
                      <a:xfrm>
                        <a:off x="0" y="0"/>
                        <a:ext cx="68454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44F3BE01" id="Straight Connector 18" o:spid="_x0000_s1026" style="position:absolute;z-index:251663360;visibility:visible;mso-wrap-style:square;mso-width-percent:1000;mso-wrap-distance-left:9pt;mso-wrap-distance-top:0;mso-wrap-distance-right:9pt;mso-wrap-distance-bottom:0;mso-position-horizontal:right;mso-position-horizontal-relative:margin;mso-position-vertical:absolute;mso-position-vertical-relative:page;mso-width-percent:1000;mso-width-relative:margin" from="487.8pt,99.4pt" to="1026.8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" strokecolor="#264f90 [3205]" strokeweight="1pt">
              <v:stroke joinstyle="miter"/>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7E6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9CCF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F4F3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C265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08C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A491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AB1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3E54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B89A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3419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54751"/>
    <w:multiLevelType w:val="hybridMultilevel"/>
    <w:tmpl w:val="699858F2"/>
    <w:lvl w:ilvl="0" w:tplc="0C090003">
      <w:start w:val="1"/>
      <w:numFmt w:val="bullet"/>
      <w:lvlText w:val="o"/>
      <w:lvlJc w:val="left"/>
      <w:pPr>
        <w:ind w:left="1429"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49109E"/>
    <w:multiLevelType w:val="hybridMultilevel"/>
    <w:tmpl w:val="A686F11A"/>
    <w:lvl w:ilvl="0" w:tplc="3676D300">
      <w:start w:val="1"/>
      <w:numFmt w:val="decimal"/>
      <w:lvlText w:val="%1."/>
      <w:lvlJc w:val="left"/>
      <w:pPr>
        <w:ind w:left="720" w:hanging="360"/>
      </w:pPr>
      <w:rPr>
        <w:rFonts w:hint="default"/>
        <w:b/>
        <w:color w:val="212A4C" w:themeColor="text2"/>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B7A82"/>
    <w:multiLevelType w:val="hybridMultilevel"/>
    <w:tmpl w:val="4A284F2E"/>
    <w:lvl w:ilvl="0" w:tplc="0C090003">
      <w:start w:val="1"/>
      <w:numFmt w:val="bullet"/>
      <w:lvlText w:val="o"/>
      <w:lvlJc w:val="left"/>
      <w:pPr>
        <w:ind w:left="1494" w:hanging="360"/>
      </w:pPr>
      <w:rPr>
        <w:rFonts w:ascii="Courier New" w:hAnsi="Courier New" w:cs="Courier New"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3" w15:restartNumberingAfterBreak="0">
    <w:nsid w:val="10B22584"/>
    <w:multiLevelType w:val="hybridMultilevel"/>
    <w:tmpl w:val="F146D410"/>
    <w:lvl w:ilvl="0" w:tplc="E6140D5C">
      <w:start w:val="1"/>
      <w:numFmt w:val="bullet"/>
      <w:pStyle w:val="IconBox1Bullet"/>
      <w:lvlText w:val=""/>
      <w:lvlJc w:val="left"/>
      <w:pPr>
        <w:ind w:left="4122" w:hanging="360"/>
      </w:pPr>
      <w:rPr>
        <w:rFonts w:ascii="Symbol" w:hAnsi="Symbol" w:hint="default"/>
        <w:color w:val="212A4C" w:themeColor="accent1"/>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4" w15:restartNumberingAfterBreak="0">
    <w:nsid w:val="1D3412F8"/>
    <w:multiLevelType w:val="hybridMultilevel"/>
    <w:tmpl w:val="E0281C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631E71"/>
    <w:multiLevelType w:val="hybridMultilevel"/>
    <w:tmpl w:val="16AE5F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B00CCB"/>
    <w:multiLevelType w:val="multilevel"/>
    <w:tmpl w:val="67AE00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19F77F3"/>
    <w:multiLevelType w:val="multilevel"/>
    <w:tmpl w:val="4DFC4D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7884227"/>
    <w:multiLevelType w:val="hybridMultilevel"/>
    <w:tmpl w:val="4B2664D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E5B11D9"/>
    <w:multiLevelType w:val="hybridMultilevel"/>
    <w:tmpl w:val="A90EF66E"/>
    <w:lvl w:ilvl="0" w:tplc="621E83FA">
      <w:start w:val="1"/>
      <w:numFmt w:val="bullet"/>
      <w:pStyle w:val="IconBox2Bullet"/>
      <w:lvlText w:val=""/>
      <w:lvlJc w:val="left"/>
      <w:pPr>
        <w:ind w:left="3762" w:hanging="360"/>
      </w:pPr>
      <w:rPr>
        <w:rFonts w:ascii="Symbol" w:hAnsi="Symbol" w:hint="default"/>
        <w:color w:val="E6E6E6" w:themeColor="background2"/>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20" w15:restartNumberingAfterBreak="0">
    <w:nsid w:val="2FE80AB5"/>
    <w:multiLevelType w:val="hybridMultilevel"/>
    <w:tmpl w:val="B642B1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1243C6"/>
    <w:multiLevelType w:val="hybridMultilevel"/>
    <w:tmpl w:val="371E0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80560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254EDA"/>
    <w:multiLevelType w:val="hybridMultilevel"/>
    <w:tmpl w:val="B6CC68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291B6F"/>
    <w:multiLevelType w:val="multilevel"/>
    <w:tmpl w:val="37B486E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bullet"/>
      <w:lvlText w:val="o"/>
      <w:lvlJc w:val="left"/>
      <w:pPr>
        <w:ind w:left="2088" w:hanging="648"/>
      </w:pPr>
      <w:rPr>
        <w:rFonts w:ascii="Courier New" w:hAnsi="Courier New" w:cs="Courier New"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476F27F9"/>
    <w:multiLevelType w:val="hybridMultilevel"/>
    <w:tmpl w:val="F7B0CF96"/>
    <w:lvl w:ilvl="0" w:tplc="F7D06F1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C92504B"/>
    <w:multiLevelType w:val="hybridMultilevel"/>
    <w:tmpl w:val="04381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763510"/>
    <w:multiLevelType w:val="hybridMultilevel"/>
    <w:tmpl w:val="A9B6433C"/>
    <w:lvl w:ilvl="0" w:tplc="0C09000F">
      <w:start w:val="1"/>
      <w:numFmt w:val="decimal"/>
      <w:lvlText w:val="%1."/>
      <w:lvlJc w:val="left"/>
      <w:pPr>
        <w:ind w:left="764" w:hanging="360"/>
      </w:pPr>
    </w:lvl>
    <w:lvl w:ilvl="1" w:tplc="0C090019" w:tentative="1">
      <w:start w:val="1"/>
      <w:numFmt w:val="lowerLetter"/>
      <w:lvlText w:val="%2."/>
      <w:lvlJc w:val="left"/>
      <w:pPr>
        <w:ind w:left="1484" w:hanging="360"/>
      </w:pPr>
    </w:lvl>
    <w:lvl w:ilvl="2" w:tplc="0C09001B" w:tentative="1">
      <w:start w:val="1"/>
      <w:numFmt w:val="lowerRoman"/>
      <w:lvlText w:val="%3."/>
      <w:lvlJc w:val="right"/>
      <w:pPr>
        <w:ind w:left="2204" w:hanging="180"/>
      </w:pPr>
    </w:lvl>
    <w:lvl w:ilvl="3" w:tplc="0C09000F" w:tentative="1">
      <w:start w:val="1"/>
      <w:numFmt w:val="decimal"/>
      <w:lvlText w:val="%4."/>
      <w:lvlJc w:val="left"/>
      <w:pPr>
        <w:ind w:left="2924" w:hanging="360"/>
      </w:pPr>
    </w:lvl>
    <w:lvl w:ilvl="4" w:tplc="0C090019" w:tentative="1">
      <w:start w:val="1"/>
      <w:numFmt w:val="lowerLetter"/>
      <w:lvlText w:val="%5."/>
      <w:lvlJc w:val="left"/>
      <w:pPr>
        <w:ind w:left="3644" w:hanging="360"/>
      </w:pPr>
    </w:lvl>
    <w:lvl w:ilvl="5" w:tplc="0C09001B" w:tentative="1">
      <w:start w:val="1"/>
      <w:numFmt w:val="lowerRoman"/>
      <w:lvlText w:val="%6."/>
      <w:lvlJc w:val="right"/>
      <w:pPr>
        <w:ind w:left="4364" w:hanging="180"/>
      </w:pPr>
    </w:lvl>
    <w:lvl w:ilvl="6" w:tplc="0C09000F" w:tentative="1">
      <w:start w:val="1"/>
      <w:numFmt w:val="decimal"/>
      <w:lvlText w:val="%7."/>
      <w:lvlJc w:val="left"/>
      <w:pPr>
        <w:ind w:left="5084" w:hanging="360"/>
      </w:pPr>
    </w:lvl>
    <w:lvl w:ilvl="7" w:tplc="0C090019" w:tentative="1">
      <w:start w:val="1"/>
      <w:numFmt w:val="lowerLetter"/>
      <w:lvlText w:val="%8."/>
      <w:lvlJc w:val="left"/>
      <w:pPr>
        <w:ind w:left="5804" w:hanging="360"/>
      </w:pPr>
    </w:lvl>
    <w:lvl w:ilvl="8" w:tplc="0C09001B" w:tentative="1">
      <w:start w:val="1"/>
      <w:numFmt w:val="lowerRoman"/>
      <w:lvlText w:val="%9."/>
      <w:lvlJc w:val="right"/>
      <w:pPr>
        <w:ind w:left="6524" w:hanging="180"/>
      </w:pPr>
    </w:lvl>
  </w:abstractNum>
  <w:abstractNum w:abstractNumId="28" w15:restartNumberingAfterBreak="0">
    <w:nsid w:val="52EF5EAD"/>
    <w:multiLevelType w:val="hybridMultilevel"/>
    <w:tmpl w:val="60E22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4C0047C"/>
    <w:multiLevelType w:val="hybridMultilevel"/>
    <w:tmpl w:val="407A095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54B6CF9"/>
    <w:multiLevelType w:val="hybridMultilevel"/>
    <w:tmpl w:val="10D07D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7CC0593"/>
    <w:multiLevelType w:val="hybridMultilevel"/>
    <w:tmpl w:val="EE00F4FC"/>
    <w:lvl w:ilvl="0" w:tplc="70304D68">
      <w:start w:val="10"/>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DC928FA"/>
    <w:multiLevelType w:val="hybridMultilevel"/>
    <w:tmpl w:val="29F2799C"/>
    <w:lvl w:ilvl="0" w:tplc="A2E836D0">
      <w:start w:val="5"/>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028296D"/>
    <w:multiLevelType w:val="hybridMultilevel"/>
    <w:tmpl w:val="D1928B16"/>
    <w:lvl w:ilvl="0" w:tplc="1B0263DE">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E02532"/>
    <w:multiLevelType w:val="multilevel"/>
    <w:tmpl w:val="E8DE46F6"/>
    <w:styleLink w:val="NumberedListStyle"/>
    <w:lvl w:ilvl="0">
      <w:start w:val="1"/>
      <w:numFmt w:val="decimal"/>
      <w:pStyle w:val="NumberedList1"/>
      <w:lvlText w:val="%1."/>
      <w:lvlJc w:val="left"/>
      <w:pPr>
        <w:ind w:left="284" w:hanging="284"/>
      </w:pPr>
      <w:rPr>
        <w:rFonts w:hint="default"/>
        <w:color w:val="264F90" w:themeColor="accent2"/>
      </w:rPr>
    </w:lvl>
    <w:lvl w:ilvl="1">
      <w:start w:val="1"/>
      <w:numFmt w:val="lowerLetter"/>
      <w:pStyle w:val="NumberedList2"/>
      <w:lvlText w:val="%2."/>
      <w:lvlJc w:val="left"/>
      <w:pPr>
        <w:ind w:left="568" w:hanging="284"/>
      </w:pPr>
      <w:rPr>
        <w:rFonts w:hint="default"/>
        <w:color w:val="264F90" w:themeColor="accent2"/>
      </w:rPr>
    </w:lvl>
    <w:lvl w:ilvl="2">
      <w:start w:val="1"/>
      <w:numFmt w:val="lowerRoman"/>
      <w:pStyle w:val="NumberedList3"/>
      <w:lvlText w:val="%3."/>
      <w:lvlJc w:val="left"/>
      <w:pPr>
        <w:ind w:left="852" w:hanging="284"/>
      </w:pPr>
      <w:rPr>
        <w:rFonts w:hint="default"/>
        <w:color w:val="264F90" w:themeColor="accen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5" w15:restartNumberingAfterBreak="0">
    <w:nsid w:val="6E0D4173"/>
    <w:multiLevelType w:val="hybridMultilevel"/>
    <w:tmpl w:val="4B2664D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15A6803"/>
    <w:multiLevelType w:val="multilevel"/>
    <w:tmpl w:val="292C02CC"/>
    <w:lvl w:ilvl="0">
      <w:start w:val="3"/>
      <w:numFmt w:val="decimal"/>
      <w:lvlText w:val="%1"/>
      <w:lvlJc w:val="left"/>
      <w:pPr>
        <w:ind w:left="360" w:hanging="360"/>
      </w:pPr>
      <w:rPr>
        <w:rFonts w:hint="default"/>
        <w:sz w:val="20"/>
      </w:rPr>
    </w:lvl>
    <w:lvl w:ilvl="1">
      <w:start w:val="5"/>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37" w15:restartNumberingAfterBreak="0">
    <w:nsid w:val="720A41C8"/>
    <w:multiLevelType w:val="hybridMultilevel"/>
    <w:tmpl w:val="34CE49DC"/>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67E03B2"/>
    <w:multiLevelType w:val="multilevel"/>
    <w:tmpl w:val="F4A60992"/>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8EA6C44"/>
    <w:multiLevelType w:val="hybridMultilevel"/>
    <w:tmpl w:val="80B0779E"/>
    <w:lvl w:ilvl="0" w:tplc="0C090003">
      <w:start w:val="1"/>
      <w:numFmt w:val="bullet"/>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0" w15:restartNumberingAfterBreak="0">
    <w:nsid w:val="7D377C38"/>
    <w:multiLevelType w:val="hybridMultilevel"/>
    <w:tmpl w:val="5074FF48"/>
    <w:lvl w:ilvl="0" w:tplc="0C09001B">
      <w:start w:val="1"/>
      <w:numFmt w:val="lowerRoman"/>
      <w:lvlText w:val="%1."/>
      <w:lvlJc w:val="right"/>
      <w:pPr>
        <w:ind w:left="1458" w:hanging="360"/>
      </w:pPr>
    </w:lvl>
    <w:lvl w:ilvl="1" w:tplc="0C090019" w:tentative="1">
      <w:start w:val="1"/>
      <w:numFmt w:val="lowerLetter"/>
      <w:lvlText w:val="%2."/>
      <w:lvlJc w:val="left"/>
      <w:pPr>
        <w:ind w:left="2178" w:hanging="360"/>
      </w:pPr>
    </w:lvl>
    <w:lvl w:ilvl="2" w:tplc="0C09001B" w:tentative="1">
      <w:start w:val="1"/>
      <w:numFmt w:val="lowerRoman"/>
      <w:lvlText w:val="%3."/>
      <w:lvlJc w:val="right"/>
      <w:pPr>
        <w:ind w:left="2898" w:hanging="180"/>
      </w:pPr>
    </w:lvl>
    <w:lvl w:ilvl="3" w:tplc="0C09000F" w:tentative="1">
      <w:start w:val="1"/>
      <w:numFmt w:val="decimal"/>
      <w:lvlText w:val="%4."/>
      <w:lvlJc w:val="left"/>
      <w:pPr>
        <w:ind w:left="3618" w:hanging="360"/>
      </w:pPr>
    </w:lvl>
    <w:lvl w:ilvl="4" w:tplc="0C090019" w:tentative="1">
      <w:start w:val="1"/>
      <w:numFmt w:val="lowerLetter"/>
      <w:lvlText w:val="%5."/>
      <w:lvlJc w:val="left"/>
      <w:pPr>
        <w:ind w:left="4338" w:hanging="360"/>
      </w:pPr>
    </w:lvl>
    <w:lvl w:ilvl="5" w:tplc="0C09001B" w:tentative="1">
      <w:start w:val="1"/>
      <w:numFmt w:val="lowerRoman"/>
      <w:lvlText w:val="%6."/>
      <w:lvlJc w:val="right"/>
      <w:pPr>
        <w:ind w:left="5058" w:hanging="180"/>
      </w:pPr>
    </w:lvl>
    <w:lvl w:ilvl="6" w:tplc="0C09000F" w:tentative="1">
      <w:start w:val="1"/>
      <w:numFmt w:val="decimal"/>
      <w:lvlText w:val="%7."/>
      <w:lvlJc w:val="left"/>
      <w:pPr>
        <w:ind w:left="5778" w:hanging="360"/>
      </w:pPr>
    </w:lvl>
    <w:lvl w:ilvl="7" w:tplc="0C090019" w:tentative="1">
      <w:start w:val="1"/>
      <w:numFmt w:val="lowerLetter"/>
      <w:lvlText w:val="%8."/>
      <w:lvlJc w:val="left"/>
      <w:pPr>
        <w:ind w:left="6498" w:hanging="360"/>
      </w:pPr>
    </w:lvl>
    <w:lvl w:ilvl="8" w:tplc="0C09001B" w:tentative="1">
      <w:start w:val="1"/>
      <w:numFmt w:val="lowerRoman"/>
      <w:lvlText w:val="%9."/>
      <w:lvlJc w:val="right"/>
      <w:pPr>
        <w:ind w:left="7218" w:hanging="180"/>
      </w:pPr>
    </w:lvl>
  </w:abstractNum>
  <w:abstractNum w:abstractNumId="41" w15:restartNumberingAfterBreak="0">
    <w:nsid w:val="7E8B691D"/>
    <w:multiLevelType w:val="multilevel"/>
    <w:tmpl w:val="7A48930E"/>
    <w:styleLink w:val="BulletListStyle"/>
    <w:lvl w:ilvl="0">
      <w:start w:val="1"/>
      <w:numFmt w:val="bullet"/>
      <w:pStyle w:val="Bullet1"/>
      <w:lvlText w:val="•"/>
      <w:lvlJc w:val="left"/>
      <w:pPr>
        <w:ind w:left="284" w:hanging="284"/>
      </w:pPr>
      <w:rPr>
        <w:rFonts w:ascii="Arial" w:hAnsi="Arial" w:hint="default"/>
        <w:color w:val="323232"/>
      </w:rPr>
    </w:lvl>
    <w:lvl w:ilvl="1">
      <w:start w:val="1"/>
      <w:numFmt w:val="bullet"/>
      <w:pStyle w:val="Bullet2"/>
      <w:lvlText w:val="–"/>
      <w:lvlJc w:val="left"/>
      <w:pPr>
        <w:ind w:left="568" w:hanging="284"/>
      </w:pPr>
      <w:rPr>
        <w:rFonts w:ascii="Calibri" w:hAnsi="Calibri" w:hint="default"/>
        <w:color w:val="323232"/>
      </w:rPr>
    </w:lvl>
    <w:lvl w:ilvl="2">
      <w:start w:val="1"/>
      <w:numFmt w:val="bullet"/>
      <w:pStyle w:val="Bullet3"/>
      <w:lvlText w:val="»"/>
      <w:lvlJc w:val="left"/>
      <w:pPr>
        <w:ind w:left="852" w:hanging="284"/>
      </w:pPr>
      <w:rPr>
        <w:rFonts w:ascii="Calibri" w:hAnsi="Calibri" w:hint="default"/>
        <w:color w:val="323232"/>
      </w:rPr>
    </w:lvl>
    <w:lvl w:ilvl="3">
      <w:start w:val="1"/>
      <w:numFmt w:val="bullet"/>
      <w:lvlText w:val="◦"/>
      <w:lvlJc w:val="left"/>
      <w:pPr>
        <w:ind w:left="1136" w:hanging="284"/>
      </w:pPr>
      <w:rPr>
        <w:rFonts w:ascii="Calibri" w:hAnsi="Calibri" w:hint="default"/>
        <w:color w:val="323232"/>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2" w15:restartNumberingAfterBreak="0">
    <w:nsid w:val="7EE73341"/>
    <w:multiLevelType w:val="hybridMultilevel"/>
    <w:tmpl w:val="14C67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1"/>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1"/>
  </w:num>
  <w:num w:numId="18">
    <w:abstractNumId w:val="27"/>
  </w:num>
  <w:num w:numId="19">
    <w:abstractNumId w:val="30"/>
  </w:num>
  <w:num w:numId="20">
    <w:abstractNumId w:val="16"/>
  </w:num>
  <w:num w:numId="21">
    <w:abstractNumId w:val="17"/>
  </w:num>
  <w:num w:numId="22">
    <w:abstractNumId w:val="38"/>
  </w:num>
  <w:num w:numId="23">
    <w:abstractNumId w:val="36"/>
  </w:num>
  <w:num w:numId="24">
    <w:abstractNumId w:val="33"/>
  </w:num>
  <w:num w:numId="25">
    <w:abstractNumId w:val="32"/>
  </w:num>
  <w:num w:numId="26">
    <w:abstractNumId w:val="22"/>
  </w:num>
  <w:num w:numId="27">
    <w:abstractNumId w:val="28"/>
  </w:num>
  <w:num w:numId="28">
    <w:abstractNumId w:val="20"/>
  </w:num>
  <w:num w:numId="29">
    <w:abstractNumId w:val="39"/>
  </w:num>
  <w:num w:numId="30">
    <w:abstractNumId w:val="24"/>
  </w:num>
  <w:num w:numId="31">
    <w:abstractNumId w:val="37"/>
  </w:num>
  <w:num w:numId="32">
    <w:abstractNumId w:val="12"/>
  </w:num>
  <w:num w:numId="33">
    <w:abstractNumId w:val="21"/>
  </w:num>
  <w:num w:numId="34">
    <w:abstractNumId w:val="15"/>
  </w:num>
  <w:num w:numId="35">
    <w:abstractNumId w:val="23"/>
  </w:num>
  <w:num w:numId="36">
    <w:abstractNumId w:val="42"/>
  </w:num>
  <w:num w:numId="37">
    <w:abstractNumId w:val="10"/>
  </w:num>
  <w:num w:numId="38">
    <w:abstractNumId w:val="14"/>
  </w:num>
  <w:num w:numId="39">
    <w:abstractNumId w:val="26"/>
  </w:num>
  <w:num w:numId="40">
    <w:abstractNumId w:val="25"/>
  </w:num>
  <w:num w:numId="41">
    <w:abstractNumId w:val="40"/>
  </w:num>
  <w:num w:numId="42">
    <w:abstractNumId w:val="29"/>
  </w:num>
  <w:num w:numId="43">
    <w:abstractNumId w:val="35"/>
  </w:num>
  <w:num w:numId="44">
    <w:abstractNumId w:val="18"/>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F62"/>
    <w:rsid w:val="00001A64"/>
    <w:rsid w:val="00017597"/>
    <w:rsid w:val="000200EB"/>
    <w:rsid w:val="00027E66"/>
    <w:rsid w:val="0003434C"/>
    <w:rsid w:val="0004484A"/>
    <w:rsid w:val="000455F2"/>
    <w:rsid w:val="00054078"/>
    <w:rsid w:val="00061D6A"/>
    <w:rsid w:val="0009719C"/>
    <w:rsid w:val="000A1C04"/>
    <w:rsid w:val="000B65E7"/>
    <w:rsid w:val="000F4F2F"/>
    <w:rsid w:val="00110A6E"/>
    <w:rsid w:val="00163226"/>
    <w:rsid w:val="00177D26"/>
    <w:rsid w:val="001B0967"/>
    <w:rsid w:val="001B5EBB"/>
    <w:rsid w:val="001C10C5"/>
    <w:rsid w:val="001D5B62"/>
    <w:rsid w:val="0023421B"/>
    <w:rsid w:val="002355AD"/>
    <w:rsid w:val="00253CF0"/>
    <w:rsid w:val="002A294C"/>
    <w:rsid w:val="002A77A4"/>
    <w:rsid w:val="002B5E7A"/>
    <w:rsid w:val="00353EE2"/>
    <w:rsid w:val="0038113F"/>
    <w:rsid w:val="003932FC"/>
    <w:rsid w:val="00396512"/>
    <w:rsid w:val="0039793D"/>
    <w:rsid w:val="003A01BD"/>
    <w:rsid w:val="00406956"/>
    <w:rsid w:val="0041233C"/>
    <w:rsid w:val="00432A99"/>
    <w:rsid w:val="0046775E"/>
    <w:rsid w:val="00476733"/>
    <w:rsid w:val="00480CF0"/>
    <w:rsid w:val="004B3D3F"/>
    <w:rsid w:val="00500289"/>
    <w:rsid w:val="00527D37"/>
    <w:rsid w:val="00535C06"/>
    <w:rsid w:val="00631E68"/>
    <w:rsid w:val="00647D19"/>
    <w:rsid w:val="007661CA"/>
    <w:rsid w:val="00783369"/>
    <w:rsid w:val="0080053F"/>
    <w:rsid w:val="00804003"/>
    <w:rsid w:val="008346FF"/>
    <w:rsid w:val="00853B77"/>
    <w:rsid w:val="008742DD"/>
    <w:rsid w:val="008A340B"/>
    <w:rsid w:val="00901119"/>
    <w:rsid w:val="00901E6B"/>
    <w:rsid w:val="0091510F"/>
    <w:rsid w:val="009226A5"/>
    <w:rsid w:val="009B02F7"/>
    <w:rsid w:val="009B68AA"/>
    <w:rsid w:val="00A06972"/>
    <w:rsid w:val="00A91F9F"/>
    <w:rsid w:val="00A92564"/>
    <w:rsid w:val="00AB76A4"/>
    <w:rsid w:val="00AF71F9"/>
    <w:rsid w:val="00B612DA"/>
    <w:rsid w:val="00B729E2"/>
    <w:rsid w:val="00BA4643"/>
    <w:rsid w:val="00BC2448"/>
    <w:rsid w:val="00BF5EA2"/>
    <w:rsid w:val="00C05DB9"/>
    <w:rsid w:val="00C453DA"/>
    <w:rsid w:val="00C82A34"/>
    <w:rsid w:val="00CB5B1C"/>
    <w:rsid w:val="00CF40FC"/>
    <w:rsid w:val="00D06FDA"/>
    <w:rsid w:val="00D43D9C"/>
    <w:rsid w:val="00D548FC"/>
    <w:rsid w:val="00D560DC"/>
    <w:rsid w:val="00D62F62"/>
    <w:rsid w:val="00D7371A"/>
    <w:rsid w:val="00D772DA"/>
    <w:rsid w:val="00D81344"/>
    <w:rsid w:val="00D864E7"/>
    <w:rsid w:val="00DA7680"/>
    <w:rsid w:val="00DB5904"/>
    <w:rsid w:val="00DB786A"/>
    <w:rsid w:val="00DF2D1D"/>
    <w:rsid w:val="00DF7AB4"/>
    <w:rsid w:val="00E47880"/>
    <w:rsid w:val="00E47EE2"/>
    <w:rsid w:val="00E52775"/>
    <w:rsid w:val="00E824E0"/>
    <w:rsid w:val="00E85681"/>
    <w:rsid w:val="00E87E90"/>
    <w:rsid w:val="00EA661D"/>
    <w:rsid w:val="00EB248E"/>
    <w:rsid w:val="00EC3DAC"/>
    <w:rsid w:val="00F245B1"/>
    <w:rsid w:val="00F24C7A"/>
    <w:rsid w:val="00F44DBB"/>
    <w:rsid w:val="00F52C02"/>
    <w:rsid w:val="00F57682"/>
    <w:rsid w:val="00F64FDB"/>
    <w:rsid w:val="00F73C04"/>
    <w:rsid w:val="00F844E4"/>
    <w:rsid w:val="00FA3109"/>
    <w:rsid w:val="00FC150C"/>
    <w:rsid w:val="00FD17C4"/>
    <w:rsid w:val="00FD4E53"/>
    <w:rsid w:val="15A77D3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8D6FE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lang w:val="en-AU" w:eastAsia="zh-CN" w:bidi="ar-SA"/>
      </w:rPr>
    </w:rPrDefault>
    <w:pPrDefault>
      <w:pPr>
        <w:spacing w:before="160" w:after="80" w:line="280" w:lineRule="atLeast"/>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EB"/>
  </w:style>
  <w:style w:type="paragraph" w:styleId="Heading1">
    <w:name w:val="heading 1"/>
    <w:basedOn w:val="Normal"/>
    <w:next w:val="Normal"/>
    <w:link w:val="Heading1Char"/>
    <w:uiPriority w:val="4"/>
    <w:qFormat/>
    <w:rsid w:val="00F64FDB"/>
    <w:pPr>
      <w:keepNext/>
      <w:keepLines/>
      <w:spacing w:before="320" w:after="160" w:line="420" w:lineRule="atLeast"/>
      <w:outlineLvl w:val="0"/>
    </w:pPr>
    <w:rPr>
      <w:rFonts w:asciiTheme="majorHAnsi" w:eastAsiaTheme="majorEastAsia" w:hAnsiTheme="majorHAnsi" w:cstheme="majorBidi"/>
      <w:b/>
      <w:color w:val="264F90" w:themeColor="accent2"/>
      <w:sz w:val="36"/>
      <w:szCs w:val="32"/>
    </w:rPr>
  </w:style>
  <w:style w:type="paragraph" w:styleId="Heading2">
    <w:name w:val="heading 2"/>
    <w:basedOn w:val="Heading1"/>
    <w:next w:val="Normal"/>
    <w:link w:val="Heading2Char"/>
    <w:uiPriority w:val="4"/>
    <w:unhideWhenUsed/>
    <w:qFormat/>
    <w:rsid w:val="00F64FDB"/>
    <w:pPr>
      <w:spacing w:line="340" w:lineRule="atLeast"/>
      <w:outlineLvl w:val="1"/>
    </w:pPr>
    <w:rPr>
      <w:color w:val="212A4C" w:themeColor="text2"/>
      <w:sz w:val="28"/>
      <w:szCs w:val="26"/>
    </w:rPr>
  </w:style>
  <w:style w:type="paragraph" w:styleId="Heading3">
    <w:name w:val="heading 3"/>
    <w:basedOn w:val="Heading2"/>
    <w:next w:val="Normal"/>
    <w:link w:val="Heading3Char"/>
    <w:uiPriority w:val="4"/>
    <w:unhideWhenUsed/>
    <w:qFormat/>
    <w:rsid w:val="00F64FDB"/>
    <w:pPr>
      <w:spacing w:line="280" w:lineRule="atLeast"/>
      <w:outlineLvl w:val="2"/>
    </w:pPr>
    <w:rPr>
      <w:b w:val="0"/>
      <w:color w:val="264F90" w:themeColor="accent2"/>
      <w:sz w:val="24"/>
      <w:szCs w:val="24"/>
    </w:rPr>
  </w:style>
  <w:style w:type="paragraph" w:styleId="Heading4">
    <w:name w:val="heading 4"/>
    <w:basedOn w:val="Heading3"/>
    <w:next w:val="Normal"/>
    <w:link w:val="Heading4Char"/>
    <w:uiPriority w:val="4"/>
    <w:unhideWhenUsed/>
    <w:qFormat/>
    <w:rsid w:val="00F64FDB"/>
    <w:pPr>
      <w:outlineLvl w:val="3"/>
    </w:pPr>
    <w:rPr>
      <w:b/>
      <w:iCs/>
      <w:color w:val="212A4C" w:themeColor="text2"/>
      <w:sz w:val="20"/>
    </w:rPr>
  </w:style>
  <w:style w:type="paragraph" w:styleId="Heading5">
    <w:name w:val="heading 5"/>
    <w:basedOn w:val="Heading4"/>
    <w:next w:val="Normal"/>
    <w:link w:val="Heading5Char"/>
    <w:uiPriority w:val="4"/>
    <w:semiHidden/>
    <w:unhideWhenUsed/>
    <w:qFormat/>
    <w:rsid w:val="00F64FDB"/>
    <w:pPr>
      <w:outlineLvl w:val="4"/>
    </w:pPr>
    <w:rPr>
      <w:b w:val="0"/>
      <w:i/>
      <w:color w:val="264F9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60DC"/>
    <w:rPr>
      <w:i/>
      <w:iCs/>
    </w:rPr>
  </w:style>
  <w:style w:type="character" w:styleId="IntenseEmphasis">
    <w:name w:val="Intense Emphasis"/>
    <w:basedOn w:val="DefaultParagraphFont"/>
    <w:uiPriority w:val="21"/>
    <w:qFormat/>
    <w:rsid w:val="00D560DC"/>
    <w:rPr>
      <w:i/>
      <w:iCs/>
      <w:color w:val="212A4C" w:themeColor="accent1"/>
    </w:rPr>
  </w:style>
  <w:style w:type="character" w:styleId="Strong">
    <w:name w:val="Strong"/>
    <w:basedOn w:val="DefaultParagraphFont"/>
    <w:uiPriority w:val="22"/>
    <w:qFormat/>
    <w:rsid w:val="00D560DC"/>
    <w:rPr>
      <w:b/>
      <w:bCs/>
    </w:rPr>
  </w:style>
  <w:style w:type="paragraph" w:styleId="Header">
    <w:name w:val="header"/>
    <w:basedOn w:val="Normal"/>
    <w:link w:val="HeaderChar"/>
    <w:uiPriority w:val="99"/>
    <w:unhideWhenUsed/>
    <w:rsid w:val="00D560DC"/>
    <w:pPr>
      <w:spacing w:before="0" w:after="0"/>
    </w:pPr>
  </w:style>
  <w:style w:type="character" w:customStyle="1" w:styleId="HeaderChar">
    <w:name w:val="Header Char"/>
    <w:basedOn w:val="DefaultParagraphFont"/>
    <w:link w:val="Header"/>
    <w:uiPriority w:val="99"/>
    <w:rsid w:val="00D560DC"/>
  </w:style>
  <w:style w:type="paragraph" w:styleId="Footer">
    <w:name w:val="footer"/>
    <w:basedOn w:val="Normal"/>
    <w:link w:val="FooterChar"/>
    <w:uiPriority w:val="99"/>
    <w:unhideWhenUsed/>
    <w:rsid w:val="00D43D9C"/>
    <w:pPr>
      <w:tabs>
        <w:tab w:val="right" w:pos="9866"/>
      </w:tabs>
      <w:spacing w:after="0" w:line="320" w:lineRule="atLeast"/>
    </w:pPr>
  </w:style>
  <w:style w:type="character" w:customStyle="1" w:styleId="FooterChar">
    <w:name w:val="Footer Char"/>
    <w:basedOn w:val="DefaultParagraphFont"/>
    <w:link w:val="Footer"/>
    <w:uiPriority w:val="99"/>
    <w:rsid w:val="00D43D9C"/>
  </w:style>
  <w:style w:type="paragraph" w:styleId="Subtitle">
    <w:name w:val="Subtitle"/>
    <w:basedOn w:val="Heading1"/>
    <w:next w:val="Normal"/>
    <w:link w:val="SubtitleChar"/>
    <w:uiPriority w:val="11"/>
    <w:qFormat/>
    <w:rsid w:val="00F64FDB"/>
    <w:pPr>
      <w:numPr>
        <w:ilvl w:val="1"/>
      </w:numPr>
      <w:spacing w:before="0" w:after="320" w:line="560" w:lineRule="atLeast"/>
    </w:pPr>
    <w:rPr>
      <w:color w:val="212A4C" w:themeColor="text2"/>
      <w:sz w:val="44"/>
      <w:szCs w:val="22"/>
    </w:rPr>
  </w:style>
  <w:style w:type="character" w:customStyle="1" w:styleId="SubtitleChar">
    <w:name w:val="Subtitle Char"/>
    <w:basedOn w:val="DefaultParagraphFont"/>
    <w:link w:val="Subtitle"/>
    <w:uiPriority w:val="11"/>
    <w:rsid w:val="00F64FDB"/>
    <w:rPr>
      <w:rFonts w:asciiTheme="majorHAnsi" w:eastAsiaTheme="majorEastAsia" w:hAnsiTheme="majorHAnsi" w:cstheme="majorBidi"/>
      <w:b/>
      <w:color w:val="212A4C" w:themeColor="text2"/>
      <w:sz w:val="44"/>
      <w:szCs w:val="22"/>
    </w:rPr>
  </w:style>
  <w:style w:type="paragraph" w:styleId="Title">
    <w:name w:val="Title"/>
    <w:basedOn w:val="Heading1"/>
    <w:next w:val="Normal"/>
    <w:link w:val="TitleChar"/>
    <w:uiPriority w:val="10"/>
    <w:qFormat/>
    <w:rsid w:val="00F64FDB"/>
    <w:pPr>
      <w:spacing w:before="0" w:after="0" w:line="240" w:lineRule="auto"/>
      <w:contextualSpacing/>
    </w:pPr>
    <w:rPr>
      <w:b w:val="0"/>
      <w:color w:val="212A4C" w:themeColor="text2"/>
      <w:spacing w:val="-10"/>
      <w:kern w:val="28"/>
      <w:sz w:val="56"/>
      <w:szCs w:val="56"/>
    </w:rPr>
  </w:style>
  <w:style w:type="character" w:customStyle="1" w:styleId="TitleChar">
    <w:name w:val="Title Char"/>
    <w:basedOn w:val="DefaultParagraphFont"/>
    <w:link w:val="Title"/>
    <w:uiPriority w:val="10"/>
    <w:rsid w:val="00F64FDB"/>
    <w:rPr>
      <w:rFonts w:asciiTheme="majorHAnsi" w:eastAsiaTheme="majorEastAsia" w:hAnsiTheme="majorHAnsi" w:cstheme="majorBidi"/>
      <w:color w:val="212A4C" w:themeColor="text2"/>
      <w:spacing w:val="-10"/>
      <w:kern w:val="28"/>
      <w:sz w:val="56"/>
      <w:szCs w:val="56"/>
    </w:rPr>
  </w:style>
  <w:style w:type="character" w:styleId="PlaceholderText">
    <w:name w:val="Placeholder Text"/>
    <w:basedOn w:val="DefaultParagraphFont"/>
    <w:uiPriority w:val="99"/>
    <w:semiHidden/>
    <w:rsid w:val="00D560DC"/>
    <w:rPr>
      <w:color w:val="808080"/>
    </w:rPr>
  </w:style>
  <w:style w:type="character" w:customStyle="1" w:styleId="Heading2Char">
    <w:name w:val="Heading 2 Char"/>
    <w:basedOn w:val="DefaultParagraphFont"/>
    <w:link w:val="Heading2"/>
    <w:uiPriority w:val="4"/>
    <w:rsid w:val="008A340B"/>
    <w:rPr>
      <w:rFonts w:asciiTheme="majorHAnsi" w:eastAsiaTheme="majorEastAsia" w:hAnsiTheme="majorHAnsi" w:cstheme="majorBidi"/>
      <w:b/>
      <w:color w:val="212A4C" w:themeColor="text2"/>
      <w:sz w:val="28"/>
      <w:szCs w:val="26"/>
    </w:rPr>
  </w:style>
  <w:style w:type="character" w:customStyle="1" w:styleId="Heading1Char">
    <w:name w:val="Heading 1 Char"/>
    <w:basedOn w:val="DefaultParagraphFont"/>
    <w:link w:val="Heading1"/>
    <w:uiPriority w:val="4"/>
    <w:rsid w:val="008A340B"/>
    <w:rPr>
      <w:rFonts w:asciiTheme="majorHAnsi" w:eastAsiaTheme="majorEastAsia" w:hAnsiTheme="majorHAnsi" w:cstheme="majorBidi"/>
      <w:b/>
      <w:color w:val="264F90" w:themeColor="accent2"/>
      <w:sz w:val="36"/>
      <w:szCs w:val="32"/>
    </w:rPr>
  </w:style>
  <w:style w:type="character" w:customStyle="1" w:styleId="Heading3Char">
    <w:name w:val="Heading 3 Char"/>
    <w:basedOn w:val="DefaultParagraphFont"/>
    <w:link w:val="Heading3"/>
    <w:uiPriority w:val="4"/>
    <w:rsid w:val="008A340B"/>
    <w:rPr>
      <w:rFonts w:asciiTheme="majorHAnsi" w:eastAsiaTheme="majorEastAsia" w:hAnsiTheme="majorHAnsi" w:cstheme="majorBidi"/>
      <w:color w:val="264F90" w:themeColor="accent2"/>
      <w:sz w:val="24"/>
      <w:szCs w:val="24"/>
    </w:rPr>
  </w:style>
  <w:style w:type="character" w:customStyle="1" w:styleId="Heading4Char">
    <w:name w:val="Heading 4 Char"/>
    <w:basedOn w:val="DefaultParagraphFont"/>
    <w:link w:val="Heading4"/>
    <w:uiPriority w:val="4"/>
    <w:rsid w:val="008A340B"/>
    <w:rPr>
      <w:rFonts w:asciiTheme="majorHAnsi" w:eastAsiaTheme="majorEastAsia" w:hAnsiTheme="majorHAnsi" w:cstheme="majorBidi"/>
      <w:b/>
      <w:iCs/>
      <w:color w:val="212A4C" w:themeColor="text2"/>
      <w:szCs w:val="24"/>
    </w:rPr>
  </w:style>
  <w:style w:type="paragraph" w:customStyle="1" w:styleId="Bullet1">
    <w:name w:val="Bullet 1"/>
    <w:basedOn w:val="Normal"/>
    <w:uiPriority w:val="2"/>
    <w:qFormat/>
    <w:rsid w:val="00061D6A"/>
    <w:pPr>
      <w:numPr>
        <w:numId w:val="1"/>
      </w:numPr>
      <w:spacing w:before="80"/>
    </w:pPr>
  </w:style>
  <w:style w:type="paragraph" w:customStyle="1" w:styleId="Bullet2">
    <w:name w:val="Bullet 2"/>
    <w:basedOn w:val="Bullet1"/>
    <w:uiPriority w:val="2"/>
    <w:qFormat/>
    <w:rsid w:val="00F64FDB"/>
    <w:pPr>
      <w:numPr>
        <w:ilvl w:val="1"/>
      </w:numPr>
    </w:pPr>
  </w:style>
  <w:style w:type="paragraph" w:customStyle="1" w:styleId="Bullet3">
    <w:name w:val="Bullet 3"/>
    <w:basedOn w:val="Bullet2"/>
    <w:uiPriority w:val="2"/>
    <w:qFormat/>
    <w:rsid w:val="00F64FDB"/>
    <w:pPr>
      <w:numPr>
        <w:ilvl w:val="2"/>
      </w:numPr>
    </w:pPr>
  </w:style>
  <w:style w:type="numbering" w:customStyle="1" w:styleId="BulletListStyle">
    <w:name w:val="Bullet List Style"/>
    <w:uiPriority w:val="99"/>
    <w:rsid w:val="00061D6A"/>
    <w:pPr>
      <w:numPr>
        <w:numId w:val="1"/>
      </w:numPr>
    </w:pPr>
  </w:style>
  <w:style w:type="paragraph" w:customStyle="1" w:styleId="NumberedList1">
    <w:name w:val="Numbered List 1"/>
    <w:basedOn w:val="Normal"/>
    <w:uiPriority w:val="2"/>
    <w:qFormat/>
    <w:rsid w:val="00061D6A"/>
    <w:pPr>
      <w:numPr>
        <w:numId w:val="3"/>
      </w:numPr>
      <w:spacing w:before="80"/>
    </w:pPr>
  </w:style>
  <w:style w:type="paragraph" w:customStyle="1" w:styleId="NumberedList2">
    <w:name w:val="Numbered List 2"/>
    <w:basedOn w:val="NumberedList1"/>
    <w:uiPriority w:val="2"/>
    <w:qFormat/>
    <w:rsid w:val="00F64FDB"/>
    <w:pPr>
      <w:numPr>
        <w:ilvl w:val="1"/>
      </w:numPr>
    </w:pPr>
  </w:style>
  <w:style w:type="paragraph" w:customStyle="1" w:styleId="NumberedList3">
    <w:name w:val="Numbered List 3"/>
    <w:basedOn w:val="NumberedList2"/>
    <w:uiPriority w:val="2"/>
    <w:qFormat/>
    <w:rsid w:val="00F64FDB"/>
    <w:pPr>
      <w:numPr>
        <w:ilvl w:val="2"/>
      </w:numPr>
    </w:pPr>
  </w:style>
  <w:style w:type="paragraph" w:customStyle="1" w:styleId="Introductionparagraph">
    <w:name w:val="Introduction paragraph"/>
    <w:basedOn w:val="Normal"/>
    <w:uiPriority w:val="5"/>
    <w:qFormat/>
    <w:rsid w:val="00F64FDB"/>
    <w:pPr>
      <w:spacing w:before="320" w:after="320" w:line="340" w:lineRule="atLeast"/>
    </w:pPr>
    <w:rPr>
      <w:color w:val="176CB5" w:themeColor="accent3"/>
      <w:sz w:val="28"/>
    </w:rPr>
  </w:style>
  <w:style w:type="character" w:customStyle="1" w:styleId="Heading5Char">
    <w:name w:val="Heading 5 Char"/>
    <w:basedOn w:val="DefaultParagraphFont"/>
    <w:link w:val="Heading5"/>
    <w:uiPriority w:val="4"/>
    <w:semiHidden/>
    <w:rsid w:val="008A340B"/>
    <w:rPr>
      <w:rFonts w:asciiTheme="majorHAnsi" w:eastAsiaTheme="majorEastAsia" w:hAnsiTheme="majorHAnsi" w:cstheme="majorBidi"/>
      <w:i/>
      <w:iCs/>
      <w:color w:val="264F90" w:themeColor="accent2"/>
      <w:szCs w:val="24"/>
    </w:rPr>
  </w:style>
  <w:style w:type="paragraph" w:styleId="Quote">
    <w:name w:val="Quote"/>
    <w:basedOn w:val="Normal"/>
    <w:next w:val="Normal"/>
    <w:link w:val="QuoteChar"/>
    <w:uiPriority w:val="29"/>
    <w:qFormat/>
    <w:rsid w:val="00061D6A"/>
    <w:pPr>
      <w:spacing w:before="320" w:after="320" w:line="340" w:lineRule="atLeast"/>
      <w:ind w:left="284" w:right="284"/>
    </w:pPr>
    <w:rPr>
      <w:iCs/>
      <w:color w:val="176CB5" w:themeColor="accent3"/>
      <w:sz w:val="24"/>
    </w:rPr>
  </w:style>
  <w:style w:type="character" w:customStyle="1" w:styleId="QuoteChar">
    <w:name w:val="Quote Char"/>
    <w:basedOn w:val="DefaultParagraphFont"/>
    <w:link w:val="Quote"/>
    <w:uiPriority w:val="29"/>
    <w:rsid w:val="00061D6A"/>
    <w:rPr>
      <w:iCs/>
      <w:color w:val="176CB5" w:themeColor="accent3"/>
      <w:sz w:val="24"/>
    </w:rPr>
  </w:style>
  <w:style w:type="paragraph" w:customStyle="1" w:styleId="BoxQuote">
    <w:name w:val="Box Quote"/>
    <w:basedOn w:val="Quote"/>
    <w:uiPriority w:val="12"/>
    <w:qFormat/>
    <w:rsid w:val="00F24C7A"/>
    <w:pPr>
      <w:pBdr>
        <w:top w:val="single" w:sz="4" w:space="14" w:color="DAECFA"/>
        <w:left w:val="single" w:sz="4" w:space="14" w:color="264F90" w:themeColor="accent2"/>
        <w:bottom w:val="single" w:sz="4" w:space="14" w:color="DAECFA"/>
        <w:right w:val="single" w:sz="4" w:space="14" w:color="DAECFA"/>
      </w:pBdr>
      <w:shd w:val="clear" w:color="auto" w:fill="DFE7F6"/>
    </w:pPr>
  </w:style>
  <w:style w:type="paragraph" w:customStyle="1" w:styleId="Photocaption">
    <w:name w:val="Photo caption"/>
    <w:basedOn w:val="Normal"/>
    <w:uiPriority w:val="14"/>
    <w:qFormat/>
    <w:rsid w:val="00061D6A"/>
    <w:pPr>
      <w:pBdr>
        <w:bottom w:val="single" w:sz="4" w:space="8" w:color="176CB5" w:themeColor="accent3"/>
      </w:pBdr>
      <w:spacing w:after="160" w:line="240" w:lineRule="atLeast"/>
    </w:pPr>
    <w:rPr>
      <w:sz w:val="16"/>
    </w:rPr>
  </w:style>
  <w:style w:type="numbering" w:customStyle="1" w:styleId="NumberedListStyle">
    <w:name w:val="Numbered List Style"/>
    <w:uiPriority w:val="99"/>
    <w:rsid w:val="00061D6A"/>
    <w:pPr>
      <w:numPr>
        <w:numId w:val="3"/>
      </w:numPr>
    </w:pPr>
  </w:style>
  <w:style w:type="table" w:styleId="TableGrid">
    <w:name w:val="Table Grid"/>
    <w:basedOn w:val="TableNormal"/>
    <w:uiPriority w:val="39"/>
    <w:rsid w:val="00061D6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EPTable1">
    <w:name w:val="BEP Table 1"/>
    <w:basedOn w:val="TableNormal"/>
    <w:uiPriority w:val="99"/>
    <w:rsid w:val="00D06FDA"/>
    <w:pPr>
      <w:spacing w:before="80" w:line="240" w:lineRule="auto"/>
    </w:pPr>
    <w:tblPr>
      <w:tblStyleRowBandSize w:val="1"/>
      <w:tblStyleColBandSize w:val="1"/>
      <w:tblBorders>
        <w:top w:val="single" w:sz="4" w:space="0" w:color="176CB5" w:themeColor="accent3"/>
        <w:bottom w:val="single" w:sz="4" w:space="0" w:color="176CB5" w:themeColor="accent3"/>
        <w:insideH w:val="single" w:sz="4" w:space="0" w:color="176CB5" w:themeColor="accent3"/>
      </w:tblBorders>
      <w:tblCellMar>
        <w:top w:w="57" w:type="dxa"/>
        <w:bottom w:w="57" w:type="dxa"/>
      </w:tblCellMar>
    </w:tblPr>
    <w:tcPr>
      <w:shd w:val="clear" w:color="auto" w:fill="auto"/>
    </w:tcPr>
    <w:tblStylePr w:type="firstRow">
      <w:rPr>
        <w:b/>
      </w:rPr>
      <w:tblPr/>
      <w:trPr>
        <w:tblHeader/>
      </w:trPr>
      <w:tcPr>
        <w:shd w:val="clear" w:color="auto" w:fill="DAECFA"/>
      </w:tcPr>
    </w:tblStylePr>
    <w:tblStylePr w:type="lastRow">
      <w:tblPr/>
      <w:tcPr>
        <w:shd w:val="clear" w:color="auto" w:fill="D9D9D9" w:themeFill="background1" w:themeFillShade="D9"/>
      </w:tcPr>
    </w:tblStylePr>
    <w:tblStylePr w:type="firstCol">
      <w:rPr>
        <w:b/>
      </w:rPr>
    </w:tblStylePr>
    <w:tblStylePr w:type="lastCol">
      <w:rPr>
        <w:b/>
      </w:rPr>
    </w:tblStylePr>
    <w:tblStylePr w:type="band1Vert">
      <w:tblPr/>
      <w:tcPr>
        <w:shd w:val="clear" w:color="auto" w:fill="F2F2F2" w:themeFill="background1" w:themeFillShade="F2"/>
      </w:tcPr>
    </w:tblStylePr>
    <w:tblStylePr w:type="band2Vert">
      <w:tblPr/>
      <w:tcPr>
        <w:shd w:val="clear" w:color="auto" w:fill="E6E6E6" w:themeFill="background2"/>
      </w:tcPr>
    </w:tblStylePr>
    <w:tblStylePr w:type="band1Horz">
      <w:tblPr/>
      <w:tcPr>
        <w:shd w:val="clear" w:color="auto" w:fill="F2F2F2" w:themeFill="background1" w:themeFillShade="F2"/>
      </w:tcPr>
    </w:tblStylePr>
    <w:tblStylePr w:type="band2Horz">
      <w:tblPr/>
      <w:tcPr>
        <w:shd w:val="clear" w:color="auto" w:fill="E6E6E6" w:themeFill="background2"/>
      </w:tcPr>
    </w:tblStylePr>
  </w:style>
  <w:style w:type="paragraph" w:customStyle="1" w:styleId="FigureHeading">
    <w:name w:val="Figure Heading"/>
    <w:basedOn w:val="Normal"/>
    <w:uiPriority w:val="7"/>
    <w:qFormat/>
    <w:rsid w:val="00D06FDA"/>
    <w:pPr>
      <w:pBdr>
        <w:top w:val="single" w:sz="4" w:space="6" w:color="176CB5" w:themeColor="accent3"/>
        <w:left w:val="single" w:sz="4" w:space="4" w:color="176CB5" w:themeColor="accent3"/>
        <w:bottom w:val="single" w:sz="4" w:space="6" w:color="176CB5" w:themeColor="accent3"/>
        <w:right w:val="single" w:sz="4" w:space="4" w:color="176CB5" w:themeColor="accent3"/>
      </w:pBdr>
      <w:shd w:val="clear" w:color="auto" w:fill="176CB5" w:themeFill="accent3"/>
      <w:spacing w:after="160"/>
      <w:ind w:left="113" w:right="113"/>
    </w:pPr>
    <w:rPr>
      <w:b/>
      <w:caps/>
      <w:color w:val="FFFFFF" w:themeColor="background1"/>
    </w:rPr>
  </w:style>
  <w:style w:type="paragraph" w:customStyle="1" w:styleId="TableHeading">
    <w:name w:val="Table Heading"/>
    <w:basedOn w:val="FigureHeading"/>
    <w:uiPriority w:val="7"/>
    <w:qFormat/>
    <w:rsid w:val="00D06FDA"/>
    <w:pPr>
      <w:spacing w:after="0"/>
    </w:pPr>
  </w:style>
  <w:style w:type="paragraph" w:customStyle="1" w:styleId="Source">
    <w:name w:val="Source"/>
    <w:basedOn w:val="Normal"/>
    <w:uiPriority w:val="8"/>
    <w:qFormat/>
    <w:rsid w:val="00D06FDA"/>
    <w:pPr>
      <w:spacing w:before="80" w:line="200" w:lineRule="atLeast"/>
    </w:pPr>
    <w:rPr>
      <w:sz w:val="16"/>
    </w:rPr>
  </w:style>
  <w:style w:type="paragraph" w:customStyle="1" w:styleId="IconBox1Heading">
    <w:name w:val="Icon Box 1 Heading"/>
    <w:basedOn w:val="Heading1"/>
    <w:uiPriority w:val="15"/>
    <w:qFormat/>
    <w:rsid w:val="00BA4643"/>
    <w:pPr>
      <w:spacing w:before="480"/>
      <w:ind w:left="3402" w:right="284"/>
      <w:outlineLvl w:val="2"/>
    </w:pPr>
  </w:style>
  <w:style w:type="paragraph" w:customStyle="1" w:styleId="IconBox1Text">
    <w:name w:val="Icon Box 1 Text"/>
    <w:basedOn w:val="Normal"/>
    <w:uiPriority w:val="15"/>
    <w:qFormat/>
    <w:rsid w:val="004B3D3F"/>
    <w:pPr>
      <w:ind w:left="3402" w:right="283"/>
    </w:pPr>
  </w:style>
  <w:style w:type="paragraph" w:customStyle="1" w:styleId="IconBox1Bullet">
    <w:name w:val="Icon Box 1 Bullet"/>
    <w:basedOn w:val="IconBox1Text"/>
    <w:uiPriority w:val="16"/>
    <w:qFormat/>
    <w:rsid w:val="004B3D3F"/>
    <w:pPr>
      <w:numPr>
        <w:numId w:val="5"/>
      </w:numPr>
      <w:spacing w:before="80"/>
      <w:ind w:left="3686" w:hanging="284"/>
    </w:pPr>
  </w:style>
  <w:style w:type="paragraph" w:customStyle="1" w:styleId="IconBox2Heading">
    <w:name w:val="Icon Box 2 Heading"/>
    <w:basedOn w:val="IconBox1Heading"/>
    <w:uiPriority w:val="17"/>
    <w:qFormat/>
    <w:rsid w:val="00BA4643"/>
    <w:rPr>
      <w:color w:val="FFFFFF" w:themeColor="background1"/>
    </w:rPr>
  </w:style>
  <w:style w:type="paragraph" w:customStyle="1" w:styleId="IconBox2Text">
    <w:name w:val="Icon Box 2 Text"/>
    <w:basedOn w:val="IconBox1Text"/>
    <w:uiPriority w:val="17"/>
    <w:qFormat/>
    <w:rsid w:val="004B3D3F"/>
    <w:pPr>
      <w:spacing w:after="160" w:line="340" w:lineRule="atLeast"/>
      <w:ind w:right="284"/>
    </w:pPr>
    <w:rPr>
      <w:color w:val="FFFFFF" w:themeColor="background1"/>
      <w:sz w:val="28"/>
    </w:rPr>
  </w:style>
  <w:style w:type="paragraph" w:customStyle="1" w:styleId="IconBox2Bullet">
    <w:name w:val="Icon Box 2 Bullet"/>
    <w:basedOn w:val="IconBox1Bullet"/>
    <w:uiPriority w:val="18"/>
    <w:qFormat/>
    <w:rsid w:val="004B3D3F"/>
    <w:pPr>
      <w:numPr>
        <w:numId w:val="6"/>
      </w:numPr>
    </w:pPr>
    <w:rPr>
      <w:color w:val="FFFFFF" w:themeColor="background1"/>
    </w:rPr>
  </w:style>
  <w:style w:type="paragraph" w:customStyle="1" w:styleId="NotesLines">
    <w:name w:val="Notes Lines"/>
    <w:basedOn w:val="Normal"/>
    <w:uiPriority w:val="19"/>
    <w:qFormat/>
    <w:rsid w:val="008A340B"/>
    <w:pPr>
      <w:pBdr>
        <w:between w:val="single" w:sz="4" w:space="1" w:color="auto"/>
      </w:pBdr>
      <w:spacing w:line="360" w:lineRule="atLeast"/>
    </w:pPr>
  </w:style>
  <w:style w:type="paragraph" w:styleId="NoSpacing">
    <w:name w:val="No Spacing"/>
    <w:uiPriority w:val="1"/>
    <w:qFormat/>
    <w:rsid w:val="008A340B"/>
    <w:pPr>
      <w:spacing w:before="0" w:after="0"/>
    </w:pPr>
  </w:style>
  <w:style w:type="paragraph" w:styleId="TOCHeading">
    <w:name w:val="TOC Heading"/>
    <w:basedOn w:val="Heading1"/>
    <w:next w:val="Normal"/>
    <w:uiPriority w:val="39"/>
    <w:unhideWhenUsed/>
    <w:qFormat/>
    <w:rsid w:val="00CF40FC"/>
    <w:pPr>
      <w:spacing w:before="720"/>
      <w:outlineLvl w:val="9"/>
    </w:pPr>
  </w:style>
  <w:style w:type="paragraph" w:styleId="TOC1">
    <w:name w:val="toc 1"/>
    <w:basedOn w:val="Normal"/>
    <w:next w:val="Normal"/>
    <w:autoRedefine/>
    <w:uiPriority w:val="39"/>
    <w:unhideWhenUsed/>
    <w:rsid w:val="00BA4643"/>
    <w:pPr>
      <w:tabs>
        <w:tab w:val="right" w:pos="9854"/>
      </w:tabs>
    </w:pPr>
    <w:rPr>
      <w:b/>
      <w:u w:val="single" w:color="176CB5" w:themeColor="accent3"/>
    </w:rPr>
  </w:style>
  <w:style w:type="paragraph" w:styleId="TOC2">
    <w:name w:val="toc 2"/>
    <w:basedOn w:val="Normal"/>
    <w:next w:val="Normal"/>
    <w:autoRedefine/>
    <w:uiPriority w:val="39"/>
    <w:unhideWhenUsed/>
    <w:rsid w:val="00BA4643"/>
    <w:pPr>
      <w:spacing w:before="80"/>
    </w:pPr>
  </w:style>
  <w:style w:type="character" w:styleId="Hyperlink">
    <w:name w:val="Hyperlink"/>
    <w:basedOn w:val="DefaultParagraphFont"/>
    <w:uiPriority w:val="99"/>
    <w:unhideWhenUsed/>
    <w:rsid w:val="00BA4643"/>
    <w:rPr>
      <w:color w:val="0046FF" w:themeColor="hyperlink"/>
      <w:u w:val="single"/>
    </w:rPr>
  </w:style>
  <w:style w:type="paragraph" w:styleId="ListParagraph">
    <w:name w:val="List Paragraph"/>
    <w:aliases w:val="Bullet point,L,List Paragraph - bullets,List Paragraph1,List Paragraph11,NFP GP Bulleted List,Recommendation,bullet point list,AR bullet 1,Bullet Point,Bullet Points,Bullet points,Bulletr List Paragraph,CV text,Content descriptions,Dot pt"/>
    <w:basedOn w:val="Normal"/>
    <w:link w:val="ListParagraphChar"/>
    <w:uiPriority w:val="34"/>
    <w:qFormat/>
    <w:rsid w:val="000F4F2F"/>
    <w:pPr>
      <w:ind w:left="720"/>
      <w:contextualSpacing/>
    </w:pPr>
  </w:style>
  <w:style w:type="character" w:customStyle="1" w:styleId="ListParagraphChar">
    <w:name w:val="List Paragraph Char"/>
    <w:aliases w:val="Bullet point Char,L Char,List Paragraph - bullets Char,List Paragraph1 Char,List Paragraph11 Char,NFP GP Bulleted List Char,Recommendation Char,bullet point list Char,AR bullet 1 Char,Bullet Point Char,Bullet Points Char,CV text Char"/>
    <w:basedOn w:val="DefaultParagraphFont"/>
    <w:link w:val="ListParagraph"/>
    <w:uiPriority w:val="34"/>
    <w:qFormat/>
    <w:locked/>
    <w:rsid w:val="009B68AA"/>
  </w:style>
  <w:style w:type="character" w:customStyle="1" w:styleId="normaltextrun1">
    <w:name w:val="normaltextrun1"/>
    <w:basedOn w:val="DefaultParagraphFont"/>
    <w:rsid w:val="009B68AA"/>
  </w:style>
  <w:style w:type="character" w:styleId="CommentReference">
    <w:name w:val="annotation reference"/>
    <w:basedOn w:val="DefaultParagraphFont"/>
    <w:uiPriority w:val="99"/>
    <w:semiHidden/>
    <w:unhideWhenUsed/>
    <w:rsid w:val="00C453DA"/>
    <w:rPr>
      <w:sz w:val="16"/>
      <w:szCs w:val="16"/>
    </w:rPr>
  </w:style>
  <w:style w:type="paragraph" w:styleId="CommentText">
    <w:name w:val="annotation text"/>
    <w:basedOn w:val="Normal"/>
    <w:link w:val="CommentTextChar"/>
    <w:uiPriority w:val="99"/>
    <w:semiHidden/>
    <w:unhideWhenUsed/>
    <w:rsid w:val="00C453DA"/>
    <w:pPr>
      <w:spacing w:line="240" w:lineRule="auto"/>
    </w:pPr>
  </w:style>
  <w:style w:type="character" w:customStyle="1" w:styleId="CommentTextChar">
    <w:name w:val="Comment Text Char"/>
    <w:basedOn w:val="DefaultParagraphFont"/>
    <w:link w:val="CommentText"/>
    <w:uiPriority w:val="99"/>
    <w:semiHidden/>
    <w:rsid w:val="00C453DA"/>
  </w:style>
  <w:style w:type="paragraph" w:styleId="CommentSubject">
    <w:name w:val="annotation subject"/>
    <w:basedOn w:val="CommentText"/>
    <w:next w:val="CommentText"/>
    <w:link w:val="CommentSubjectChar"/>
    <w:uiPriority w:val="99"/>
    <w:semiHidden/>
    <w:unhideWhenUsed/>
    <w:rsid w:val="00C453DA"/>
    <w:rPr>
      <w:b/>
      <w:bCs/>
    </w:rPr>
  </w:style>
  <w:style w:type="character" w:customStyle="1" w:styleId="CommentSubjectChar">
    <w:name w:val="Comment Subject Char"/>
    <w:basedOn w:val="CommentTextChar"/>
    <w:link w:val="CommentSubject"/>
    <w:uiPriority w:val="99"/>
    <w:semiHidden/>
    <w:rsid w:val="00C453DA"/>
    <w:rPr>
      <w:b/>
      <w:bCs/>
    </w:rPr>
  </w:style>
  <w:style w:type="paragraph" w:styleId="BalloonText">
    <w:name w:val="Balloon Text"/>
    <w:basedOn w:val="Normal"/>
    <w:link w:val="BalloonTextChar"/>
    <w:uiPriority w:val="99"/>
    <w:semiHidden/>
    <w:unhideWhenUsed/>
    <w:rsid w:val="00C453D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3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4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EP 2020 Colours">
      <a:dk1>
        <a:sysClr val="windowText" lastClr="000000"/>
      </a:dk1>
      <a:lt1>
        <a:sysClr val="window" lastClr="FFFFFF"/>
      </a:lt1>
      <a:dk2>
        <a:srgbClr val="212A4C"/>
      </a:dk2>
      <a:lt2>
        <a:srgbClr val="E6E6E6"/>
      </a:lt2>
      <a:accent1>
        <a:srgbClr val="212A4C"/>
      </a:accent1>
      <a:accent2>
        <a:srgbClr val="264F90"/>
      </a:accent2>
      <a:accent3>
        <a:srgbClr val="176CB5"/>
      </a:accent3>
      <a:accent4>
        <a:srgbClr val="218080"/>
      </a:accent4>
      <a:accent5>
        <a:srgbClr val="E5B13D"/>
      </a:accent5>
      <a:accent6>
        <a:srgbClr val="A42079"/>
      </a:accent6>
      <a:hlink>
        <a:srgbClr val="0046FF"/>
      </a:hlink>
      <a:folHlink>
        <a:srgbClr val="0046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1CF13-0278-4785-99C0-FDAA95A20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2573</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2022-05-13T05:29:00Z</dcterms:created>
  <dcterms:modified xsi:type="dcterms:W3CDTF">2022-05-13T05:29:00Z</dcterms:modified>
</cp:coreProperties>
</file>