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48F6" w14:textId="77777777" w:rsidR="002F5DB5" w:rsidRDefault="002F5DB5" w:rsidP="00165861">
      <w:pPr>
        <w:pStyle w:val="Heading1"/>
        <w:rPr>
          <w:sz w:val="20"/>
          <w:szCs w:val="20"/>
        </w:rPr>
      </w:pPr>
      <w:bookmarkStart w:id="0" w:name="_GoBack"/>
      <w:r>
        <w:t xml:space="preserve">Conditions for Participation </w:t>
      </w:r>
    </w:p>
    <w:bookmarkEnd w:id="0"/>
    <w:p w14:paraId="1F2648F7" w14:textId="77777777" w:rsidR="002F5DB5" w:rsidRDefault="002F5DB5" w:rsidP="002F5DB5">
      <w:pPr>
        <w:pStyle w:val="Default"/>
        <w:rPr>
          <w:sz w:val="20"/>
          <w:szCs w:val="20"/>
        </w:rPr>
      </w:pPr>
    </w:p>
    <w:p w14:paraId="1F2648F8" w14:textId="77777777" w:rsidR="002F5DB5" w:rsidRDefault="002F5DB5" w:rsidP="002F5DB5">
      <w:pPr>
        <w:pStyle w:val="Default"/>
        <w:rPr>
          <w:sz w:val="20"/>
          <w:szCs w:val="20"/>
        </w:rPr>
      </w:pPr>
      <w:r>
        <w:rPr>
          <w:sz w:val="20"/>
          <w:szCs w:val="20"/>
        </w:rPr>
        <w:t xml:space="preserve">Potential Suppliers wishing to respond to this procurement will be required to fully comply with and meet the following conditions for participation: </w:t>
      </w:r>
    </w:p>
    <w:p w14:paraId="1F2648F9" w14:textId="77777777" w:rsidR="002F5DB5" w:rsidRDefault="002F5DB5" w:rsidP="002F5DB5">
      <w:pPr>
        <w:pStyle w:val="Default"/>
        <w:rPr>
          <w:sz w:val="20"/>
          <w:szCs w:val="20"/>
        </w:rPr>
      </w:pPr>
    </w:p>
    <w:p w14:paraId="1F2648FA" w14:textId="77777777" w:rsidR="002F5DB5" w:rsidRDefault="002F5DB5" w:rsidP="002F5DB5">
      <w:pPr>
        <w:pStyle w:val="Default"/>
        <w:ind w:left="567"/>
        <w:rPr>
          <w:sz w:val="20"/>
          <w:szCs w:val="20"/>
        </w:rPr>
      </w:pPr>
      <w:r>
        <w:rPr>
          <w:sz w:val="20"/>
          <w:szCs w:val="20"/>
        </w:rPr>
        <w:t xml:space="preserve">a. Clause 5 - Statement of Tax Record; </w:t>
      </w:r>
    </w:p>
    <w:p w14:paraId="1F2648FB" w14:textId="77777777" w:rsidR="002F5DB5" w:rsidRDefault="002F5DB5" w:rsidP="002F5DB5">
      <w:pPr>
        <w:pStyle w:val="Default"/>
        <w:ind w:left="567"/>
        <w:rPr>
          <w:sz w:val="20"/>
          <w:szCs w:val="20"/>
        </w:rPr>
      </w:pPr>
      <w:r>
        <w:rPr>
          <w:sz w:val="20"/>
          <w:szCs w:val="20"/>
        </w:rPr>
        <w:t xml:space="preserve">b. Clause 8 - Defence Security requirements; and </w:t>
      </w:r>
    </w:p>
    <w:p w14:paraId="1F2648FC" w14:textId="77777777" w:rsidR="002F5DB5" w:rsidRDefault="002F5DB5" w:rsidP="002F5DB5">
      <w:pPr>
        <w:pStyle w:val="Default"/>
        <w:ind w:left="567"/>
        <w:rPr>
          <w:sz w:val="20"/>
          <w:szCs w:val="20"/>
        </w:rPr>
      </w:pPr>
      <w:r>
        <w:rPr>
          <w:sz w:val="20"/>
          <w:szCs w:val="20"/>
        </w:rPr>
        <w:t xml:space="preserve">c. Applicants must hold an Australian Business Number (ABN) or a New Zealand Business Number (NZBN) to participate in this procurement </w:t>
      </w:r>
    </w:p>
    <w:p w14:paraId="1F2648FD" w14:textId="77777777" w:rsidR="002F5DB5" w:rsidRDefault="002F5DB5" w:rsidP="002F5DB5">
      <w:pPr>
        <w:pStyle w:val="Default"/>
      </w:pPr>
    </w:p>
    <w:p w14:paraId="1F2648FE" w14:textId="77777777" w:rsidR="002F5DB5" w:rsidRDefault="002F5DB5" w:rsidP="002F5DB5">
      <w:pPr>
        <w:pStyle w:val="Default"/>
        <w:rPr>
          <w:sz w:val="22"/>
          <w:szCs w:val="22"/>
        </w:rPr>
      </w:pPr>
      <w:r>
        <w:rPr>
          <w:b/>
          <w:bCs/>
          <w:sz w:val="22"/>
          <w:szCs w:val="22"/>
        </w:rPr>
        <w:t xml:space="preserve">5.  Statement of Tax Record (STR) </w:t>
      </w:r>
    </w:p>
    <w:p w14:paraId="1F2648FF" w14:textId="77777777" w:rsidR="002F5DB5" w:rsidRDefault="002F5DB5" w:rsidP="002F5DB5">
      <w:pPr>
        <w:pStyle w:val="Default"/>
        <w:rPr>
          <w:b/>
          <w:bCs/>
          <w:i/>
          <w:iCs/>
          <w:sz w:val="20"/>
          <w:szCs w:val="20"/>
        </w:rPr>
      </w:pPr>
      <w:r>
        <w:rPr>
          <w:b/>
          <w:bCs/>
          <w:i/>
          <w:iCs/>
          <w:sz w:val="20"/>
          <w:szCs w:val="20"/>
        </w:rPr>
        <w:t xml:space="preserve">Note to proposer: The Black Economy Procurement Connected Policy imposes obligations on the Commonwealth to obtain from proposers satisfactory and valid STRs. Further information about the requirements arising under the Black Economy Procurement Connected Policy is available from the Department of Treasury at </w:t>
      </w:r>
      <w:hyperlink r:id="rId8" w:history="1">
        <w:r w:rsidRPr="00D87FE9">
          <w:rPr>
            <w:rStyle w:val="Hyperlink"/>
            <w:b/>
            <w:bCs/>
            <w:i/>
            <w:iCs/>
            <w:sz w:val="20"/>
            <w:szCs w:val="20"/>
          </w:rPr>
          <w:t>https://treasury.gov.au/publication/p2019-t369466</w:t>
        </w:r>
      </w:hyperlink>
      <w:r>
        <w:rPr>
          <w:b/>
          <w:bCs/>
          <w:i/>
          <w:iCs/>
          <w:sz w:val="20"/>
          <w:szCs w:val="20"/>
        </w:rPr>
        <w:t xml:space="preserve"> </w:t>
      </w:r>
    </w:p>
    <w:p w14:paraId="1F264900" w14:textId="77777777" w:rsidR="002F5DB5" w:rsidRDefault="002F5DB5" w:rsidP="002F5DB5">
      <w:pPr>
        <w:pStyle w:val="Default"/>
        <w:rPr>
          <w:sz w:val="20"/>
          <w:szCs w:val="20"/>
        </w:rPr>
      </w:pPr>
    </w:p>
    <w:p w14:paraId="1F264901" w14:textId="77777777" w:rsidR="002F5DB5" w:rsidRDefault="002F5DB5" w:rsidP="002F5DB5">
      <w:pPr>
        <w:pStyle w:val="Default"/>
        <w:tabs>
          <w:tab w:val="left" w:pos="567"/>
        </w:tabs>
        <w:spacing w:after="48" w:line="276" w:lineRule="auto"/>
        <w:ind w:left="567" w:hanging="567"/>
        <w:rPr>
          <w:sz w:val="20"/>
          <w:szCs w:val="20"/>
        </w:rPr>
      </w:pPr>
      <w:r>
        <w:rPr>
          <w:sz w:val="20"/>
          <w:szCs w:val="20"/>
        </w:rPr>
        <w:t>5.1</w:t>
      </w:r>
      <w:r>
        <w:rPr>
          <w:sz w:val="20"/>
          <w:szCs w:val="20"/>
        </w:rPr>
        <w:tab/>
        <w:t xml:space="preserve">In accordance with the Black Economy Procurement Connected Policy, and subject to clause 5.2, a tender is to include all of the satisfactory and valid STRs required from a proposer under Table 1 of Annex C. </w:t>
      </w:r>
    </w:p>
    <w:p w14:paraId="1F264902" w14:textId="77777777" w:rsidR="002F5DB5" w:rsidRDefault="002F5DB5" w:rsidP="002F5DB5">
      <w:pPr>
        <w:pStyle w:val="Default"/>
        <w:tabs>
          <w:tab w:val="left" w:pos="567"/>
        </w:tabs>
        <w:spacing w:after="48" w:line="276" w:lineRule="auto"/>
        <w:ind w:left="567" w:hanging="567"/>
        <w:rPr>
          <w:sz w:val="20"/>
          <w:szCs w:val="20"/>
        </w:rPr>
      </w:pPr>
      <w:r>
        <w:rPr>
          <w:sz w:val="20"/>
          <w:szCs w:val="20"/>
        </w:rPr>
        <w:t>5.2</w:t>
      </w:r>
      <w:r>
        <w:rPr>
          <w:sz w:val="20"/>
          <w:szCs w:val="20"/>
        </w:rPr>
        <w:tab/>
        <w:t xml:space="preserve"> If the proposal includes an STR receipt issued by the Australian Taxation Office confirming that the STRs required under Table 1 of Annex C were requested prior to the Closing Time, then the proposer may provide all of the required satisfactory and valid STRs to the Contact Officer within 4 Working Days after the Closing Time. </w:t>
      </w:r>
    </w:p>
    <w:p w14:paraId="1F264903" w14:textId="77777777" w:rsidR="002F5DB5" w:rsidRDefault="002F5DB5" w:rsidP="002F5DB5">
      <w:pPr>
        <w:pStyle w:val="Default"/>
        <w:tabs>
          <w:tab w:val="left" w:pos="567"/>
        </w:tabs>
        <w:spacing w:after="48" w:line="276" w:lineRule="auto"/>
        <w:ind w:left="567" w:hanging="567"/>
        <w:rPr>
          <w:sz w:val="20"/>
          <w:szCs w:val="20"/>
        </w:rPr>
      </w:pPr>
      <w:r>
        <w:rPr>
          <w:sz w:val="20"/>
          <w:szCs w:val="20"/>
        </w:rPr>
        <w:t>5.3</w:t>
      </w:r>
      <w:r>
        <w:rPr>
          <w:sz w:val="20"/>
          <w:szCs w:val="20"/>
        </w:rPr>
        <w:tab/>
        <w:t xml:space="preserve"> Proposers are to obtain and hold as at the Closing Time all of the satisfactory and valid STRs required under Table 1 of Annex C (or an STR receipt confirming that the STRs required under Table 1 of Annex C were requested prior to the Closing Time) of any entity that the proposer proposes to engage as a direct Subcontractor, if the total value of all work under the Subcontract is expected to exceed $4 million (inc GST). </w:t>
      </w:r>
    </w:p>
    <w:p w14:paraId="1F264904" w14:textId="77777777" w:rsidR="002F5DB5" w:rsidRDefault="002F5DB5" w:rsidP="002F5DB5">
      <w:pPr>
        <w:pStyle w:val="Default"/>
        <w:tabs>
          <w:tab w:val="left" w:pos="567"/>
        </w:tabs>
        <w:spacing w:after="48" w:line="276" w:lineRule="auto"/>
        <w:ind w:left="567" w:hanging="567"/>
        <w:rPr>
          <w:sz w:val="20"/>
          <w:szCs w:val="20"/>
        </w:rPr>
      </w:pPr>
      <w:r>
        <w:rPr>
          <w:sz w:val="20"/>
          <w:szCs w:val="20"/>
        </w:rPr>
        <w:t xml:space="preserve">5.4 </w:t>
      </w:r>
      <w:r>
        <w:rPr>
          <w:sz w:val="20"/>
          <w:szCs w:val="20"/>
        </w:rPr>
        <w:tab/>
        <w:t xml:space="preserve">a)  For the purposes of the RFP, an STR is taken to be: a. </w:t>
      </w:r>
      <w:r>
        <w:rPr>
          <w:b/>
          <w:bCs/>
          <w:i/>
          <w:iCs/>
          <w:sz w:val="20"/>
          <w:szCs w:val="20"/>
        </w:rPr>
        <w:t xml:space="preserve">satisfactory </w:t>
      </w:r>
      <w:r>
        <w:rPr>
          <w:sz w:val="20"/>
          <w:szCs w:val="20"/>
        </w:rPr>
        <w:t xml:space="preserve">if the STR states that the entity has met the conditions, as set out in the Black Economy Procurement Connected Policy, of having a satisfactory engagement with the Australian tax system; and </w:t>
      </w:r>
    </w:p>
    <w:p w14:paraId="1F264905" w14:textId="77777777" w:rsidR="002F5DB5" w:rsidRDefault="002F5DB5" w:rsidP="002F5DB5">
      <w:pPr>
        <w:pStyle w:val="Default"/>
        <w:tabs>
          <w:tab w:val="left" w:pos="567"/>
        </w:tabs>
        <w:spacing w:line="276" w:lineRule="auto"/>
        <w:ind w:left="567" w:hanging="567"/>
        <w:rPr>
          <w:sz w:val="20"/>
          <w:szCs w:val="20"/>
        </w:rPr>
      </w:pPr>
      <w:r>
        <w:rPr>
          <w:sz w:val="20"/>
          <w:szCs w:val="20"/>
        </w:rPr>
        <w:tab/>
        <w:t xml:space="preserve">b.  </w:t>
      </w:r>
      <w:r>
        <w:rPr>
          <w:b/>
          <w:bCs/>
          <w:i/>
          <w:iCs/>
          <w:sz w:val="20"/>
          <w:szCs w:val="20"/>
        </w:rPr>
        <w:t xml:space="preserve">valid </w:t>
      </w:r>
      <w:r>
        <w:rPr>
          <w:sz w:val="20"/>
          <w:szCs w:val="20"/>
        </w:rPr>
        <w:t xml:space="preserve">if the STR has not expired as at the date on which the STR is required to be provided or held. </w:t>
      </w:r>
    </w:p>
    <w:p w14:paraId="1F264906" w14:textId="77777777" w:rsidR="002F5DB5" w:rsidRDefault="002F5DB5" w:rsidP="002F5DB5">
      <w:pPr>
        <w:pStyle w:val="Default"/>
        <w:tabs>
          <w:tab w:val="left" w:pos="567"/>
        </w:tabs>
        <w:ind w:left="567" w:hanging="567"/>
        <w:rPr>
          <w:sz w:val="20"/>
          <w:szCs w:val="20"/>
        </w:rPr>
      </w:pPr>
    </w:p>
    <w:p w14:paraId="1F264907" w14:textId="77777777" w:rsidR="002F5DB5" w:rsidRDefault="002F5DB5" w:rsidP="002F5DB5">
      <w:pPr>
        <w:pStyle w:val="Default"/>
        <w:tabs>
          <w:tab w:val="left" w:pos="567"/>
        </w:tabs>
        <w:ind w:left="567" w:hanging="567"/>
      </w:pPr>
    </w:p>
    <w:p w14:paraId="1F264908" w14:textId="77777777" w:rsidR="002F5DB5" w:rsidRDefault="002F5DB5" w:rsidP="002F5DB5">
      <w:pPr>
        <w:pStyle w:val="Default"/>
        <w:spacing w:after="48"/>
        <w:rPr>
          <w:b/>
          <w:bCs/>
          <w:sz w:val="23"/>
          <w:szCs w:val="23"/>
        </w:rPr>
      </w:pPr>
      <w:r>
        <w:rPr>
          <w:b/>
          <w:bCs/>
          <w:sz w:val="23"/>
          <w:szCs w:val="23"/>
        </w:rPr>
        <w:t>8.</w:t>
      </w:r>
      <w:r>
        <w:rPr>
          <w:b/>
          <w:bCs/>
          <w:sz w:val="23"/>
          <w:szCs w:val="23"/>
        </w:rPr>
        <w:tab/>
        <w:t xml:space="preserve">Security Requirements </w:t>
      </w:r>
    </w:p>
    <w:p w14:paraId="1F264909" w14:textId="77777777" w:rsidR="002F5DB5" w:rsidRDefault="002F5DB5" w:rsidP="00DB35F5">
      <w:pPr>
        <w:pStyle w:val="Default"/>
        <w:spacing w:after="48" w:line="276" w:lineRule="auto"/>
        <w:ind w:left="567" w:hanging="567"/>
        <w:rPr>
          <w:sz w:val="20"/>
          <w:szCs w:val="20"/>
        </w:rPr>
      </w:pPr>
      <w:r>
        <w:rPr>
          <w:sz w:val="20"/>
          <w:szCs w:val="20"/>
        </w:rPr>
        <w:t xml:space="preserve">8.1 </w:t>
      </w:r>
      <w:r>
        <w:rPr>
          <w:sz w:val="20"/>
          <w:szCs w:val="20"/>
        </w:rPr>
        <w:tab/>
        <w:t xml:space="preserve">Security considerations will depend on the work to be performed, however it is likely that the work will be conducted at a minimum Official security classification level. Official level work is intended to be publishable in the open literature where appropriate. Identity of staff and students and their citizenship will need to be provided to DST. Detailed requirements will be provided to successful applicants. DST may request additional security information if this is required to adequately assess a proposal. If attractive Proposals are received with outputs that DST considers to be at a higher security classification, appropriate Defence Security Procedures will be mandated to the proposal(s) if selected. </w:t>
      </w:r>
    </w:p>
    <w:p w14:paraId="1F26490A" w14:textId="77777777" w:rsidR="002F5DB5" w:rsidRDefault="002F5DB5" w:rsidP="00DB35F5">
      <w:pPr>
        <w:pStyle w:val="Default"/>
        <w:spacing w:after="48" w:line="276" w:lineRule="auto"/>
        <w:ind w:left="567" w:hanging="567"/>
        <w:rPr>
          <w:sz w:val="20"/>
          <w:szCs w:val="20"/>
        </w:rPr>
      </w:pPr>
      <w:r>
        <w:rPr>
          <w:sz w:val="20"/>
          <w:szCs w:val="20"/>
        </w:rPr>
        <w:t>8.2</w:t>
      </w:r>
      <w:r>
        <w:rPr>
          <w:sz w:val="20"/>
          <w:szCs w:val="20"/>
        </w:rPr>
        <w:tab/>
        <w:t xml:space="preserve"> DST has implemented changes to the administration of Collaborative Research Security arrangements under the new Defence Research Collaboration Security Framework (DRCSF) which is aligned with the Defence Industry Security Program (DISP). Proposers should be aware that full compliance to the DRCSF arrangement will be required. Further advice is available from DST Security. </w:t>
      </w:r>
    </w:p>
    <w:p w14:paraId="1F26490B" w14:textId="77777777" w:rsidR="002F5DB5" w:rsidRDefault="002F5DB5" w:rsidP="00DB35F5">
      <w:pPr>
        <w:pStyle w:val="Default"/>
        <w:spacing w:after="48" w:line="276" w:lineRule="auto"/>
        <w:ind w:left="567" w:hanging="567"/>
        <w:rPr>
          <w:sz w:val="20"/>
          <w:szCs w:val="20"/>
        </w:rPr>
      </w:pPr>
      <w:r>
        <w:rPr>
          <w:sz w:val="20"/>
          <w:szCs w:val="20"/>
        </w:rPr>
        <w:t xml:space="preserve">8.3 </w:t>
      </w:r>
      <w:r>
        <w:rPr>
          <w:sz w:val="20"/>
          <w:szCs w:val="20"/>
        </w:rPr>
        <w:tab/>
        <w:t xml:space="preserve">Under the present security arrangements the proposer will be required to achieve Defence Industry Security Program (DISP) Entry Level Membership within 12 months and must have submitted the DISP membership application request within 3 months of signing the contract. </w:t>
      </w:r>
    </w:p>
    <w:p w14:paraId="1F26490C" w14:textId="77777777" w:rsidR="002F5DB5" w:rsidRDefault="002F5DB5" w:rsidP="002F5DB5">
      <w:pPr>
        <w:pStyle w:val="Default"/>
        <w:spacing w:after="49" w:line="276" w:lineRule="auto"/>
        <w:ind w:left="567" w:hanging="567"/>
        <w:rPr>
          <w:sz w:val="20"/>
          <w:szCs w:val="20"/>
        </w:rPr>
      </w:pPr>
    </w:p>
    <w:p w14:paraId="1F26490D" w14:textId="77777777" w:rsidR="00C41669" w:rsidRDefault="00C41669"/>
    <w:sectPr w:rsidR="00C41669" w:rsidSect="00E743D0">
      <w:pgSz w:w="11906" w:h="17338"/>
      <w:pgMar w:top="1400" w:right="962" w:bottom="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B5"/>
    <w:rsid w:val="00165861"/>
    <w:rsid w:val="002F5DB5"/>
    <w:rsid w:val="00C41669"/>
    <w:rsid w:val="00DB35F5"/>
    <w:rsid w:val="00F75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48F6"/>
  <w15:chartTrackingRefBased/>
  <w15:docId w15:val="{EF2DA566-6D7A-4BB1-B32F-1508089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D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F5DB5"/>
    <w:rPr>
      <w:color w:val="0563C1" w:themeColor="hyperlink"/>
      <w:u w:val="single"/>
    </w:rPr>
  </w:style>
  <w:style w:type="character" w:customStyle="1" w:styleId="Heading1Char">
    <w:name w:val="Heading 1 Char"/>
    <w:basedOn w:val="DefaultParagraphFont"/>
    <w:link w:val="Heading1"/>
    <w:uiPriority w:val="9"/>
    <w:rsid w:val="001658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asury.gov.au/publication/p2019-t36946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News</TermName>
          <TermId xmlns="http://schemas.microsoft.com/office/infopath/2007/PartnerControls">dc1da4e5-64bc-4592-bc63-b6acb5d3c791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CDIC</TermName>
          <TermId xmlns="http://schemas.microsoft.com/office/infopath/2007/PartnerControls">75ee20eb-823a-45cc-b63c-eebecc1c4586</TermId>
        </TermInfo>
        <TermInfo xmlns="http://schemas.microsoft.com/office/infopath/2007/PartnerControls">
          <TermName xmlns="http://schemas.microsoft.com/office/infopath/2007/PartnerControls">News article</TermName>
          <TermId xmlns="http://schemas.microsoft.com/office/infopath/2007/PartnerControls">d3f4ccd2-1b87-4632-a517-fe0494a50492</TermId>
        </TermInfo>
        <TermInfo xmlns="http://schemas.microsoft.com/office/infopath/2007/PartnerControls">
          <TermName xmlns="http://schemas.microsoft.com/office/infopath/2007/PartnerControls">documents</TermName>
          <TermId xmlns="http://schemas.microsoft.com/office/infopath/2007/PartnerControls">9d602fe2-70e2-41ce-815a-38dbb022329d</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12307</Value>
      <Value>28949</Value>
      <Value>6404</Value>
      <Value>24303</Value>
      <Value>33413</Value>
      <Value>2077</Value>
      <Value>1960</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c2602086-3ba2-43df-98bd-90069d0414d9</TermId>
        </TermInfo>
      </Terms>
    </g7bcb40ba23249a78edca7d43a67c1c9>
    <g18a3467e7a84de48af75592ae60cae4 xmlns="2a251b7e-61e4-4816-a71f-b295a9ad20fb">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213b9885-7b7f-4b8c-8280-f8048d7a4649</TermId>
        </TermInfo>
      </Terms>
    </g18a3467e7a84de48af75592ae60cae4>
    <Comments xmlns="http://schemas.microsoft.com/sharepoint/v3" xsi:nil="true"/>
    <_dlc_DocId xmlns="2a251b7e-61e4-4816-a71f-b295a9ad20fb">YZXQVS7QACYM-1176301130-1865</_dlc_DocId>
    <_dlc_DocIdUrl xmlns="2a251b7e-61e4-4816-a71f-b295a9ad20fb">
      <Url>https://dochub/div/ausindustry/programmesprojectstaskforces/cdic/_layouts/15/DocIdRedir.aspx?ID=YZXQVS7QACYM-1176301130-1865</Url>
      <Description>YZXQVS7QACYM-1176301130-1865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718D394A647C4AA817323592EFA0AF" ma:contentTypeVersion="16" ma:contentTypeDescription="Create a new document." ma:contentTypeScope="" ma:versionID="e05012f7356dfaea774110e7ee6a77db">
  <xsd:schema xmlns:xsd="http://www.w3.org/2001/XMLSchema" xmlns:xs="http://www.w3.org/2001/XMLSchema" xmlns:p="http://schemas.microsoft.com/office/2006/metadata/properties" xmlns:ns1="http://schemas.microsoft.com/sharepoint/v3" xmlns:ns2="2a251b7e-61e4-4816-a71f-b295a9ad20fb" xmlns:ns3="d1c6595f-3fed-45c6-b0e3-0312477c4034" xmlns:ns4="http://schemas.microsoft.com/sharepoint/v4" targetNamespace="http://schemas.microsoft.com/office/2006/metadata/properties" ma:root="true" ma:fieldsID="dc8e6537b7e7773c8b33f0fd555deec2" ns1:_="" ns2:_="" ns3:_="" ns4:_="">
    <xsd:import namespace="http://schemas.microsoft.com/sharepoint/v3"/>
    <xsd:import namespace="2a251b7e-61e4-4816-a71f-b295a9ad20fb"/>
    <xsd:import namespace="d1c6595f-3fed-45c6-b0e3-0312477c40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g18a3467e7a84de48af75592ae60cae4"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18a3467e7a84de48af75592ae60cae4" ma:index="24" nillable="true" ma:taxonomy="true" ma:internalName="g18a3467e7a84de48af75592ae60cae4" ma:taxonomyFieldName="DocHub_EngagementCategory" ma:displayName="Engagement Category" ma:indexed="true" ma:fieldId="{018a3467-e7a8-4de4-8af7-5592ae60cae4}" ma:sspId="fb0313f7-9433-48c0-866e-9e0bbee59a50" ma:termSetId="3bb6dfd0-57f4-4e91-a413-5f142a2b0d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6595f-3fed-45c6-b0e3-0312477c403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E5241-FE95-4F26-A00A-E78159315FE2}">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d1c6595f-3fed-45c6-b0e3-0312477c4034"/>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2F0065-C006-4106-B106-637F93B1553C}">
  <ds:schemaRefs>
    <ds:schemaRef ds:uri="http://schemas.microsoft.com/sharepoint/v3/contenttype/forms"/>
  </ds:schemaRefs>
</ds:datastoreItem>
</file>

<file path=customXml/itemProps3.xml><?xml version="1.0" encoding="utf-8"?>
<ds:datastoreItem xmlns:ds="http://schemas.openxmlformats.org/officeDocument/2006/customXml" ds:itemID="{24B94065-8CEC-4486-8EB5-D554B4CDAD75}">
  <ds:schemaRefs>
    <ds:schemaRef ds:uri="http://schemas.microsoft.com/sharepoint/events"/>
  </ds:schemaRefs>
</ds:datastoreItem>
</file>

<file path=customXml/itemProps4.xml><?xml version="1.0" encoding="utf-8"?>
<ds:datastoreItem xmlns:ds="http://schemas.openxmlformats.org/officeDocument/2006/customXml" ds:itemID="{DF271EE8-8F24-4AB1-9386-9CE665DC9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d1c6595f-3fed-45c6-b0e3-0312477c4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Clarke, Tessa</cp:lastModifiedBy>
  <cp:revision>2</cp:revision>
  <dcterms:created xsi:type="dcterms:W3CDTF">2020-09-29T22:28:00Z</dcterms:created>
  <dcterms:modified xsi:type="dcterms:W3CDTF">2020-09-29T22:28:00Z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0x010100D5718D394A647C4AA817323592EFA0AF</vt:lpwstr>
  </property>
  <property fmtid="{D5CDD505-2E9C-101B-9397-08002B2CF9AE}" pid="3" name="_dlc_DocIdItemGuid">
    <vt:lpwstr>0bbd05b7-4496-4d9d-9666-0d02036327d2</vt:lpwstr>
  </property>
  <property fmtid="{D5CDD505-2E9C-101B-9397-08002B2CF9AE}" pid="4" name="DocHub_Year">
    <vt:lpwstr>28949;#2020|6a3660c5-15bd-4052-a0a1-6237663b7600</vt:lpwstr>
  </property>
  <property fmtid="{D5CDD505-2E9C-101B-9397-08002B2CF9AE}" pid="5" name="DocHub_DocumentType">
    <vt:lpwstr>2077;#News|dc1da4e5-64bc-4592-bc63-b6acb5d3c791</vt:lpwstr>
  </property>
  <property fmtid="{D5CDD505-2E9C-101B-9397-08002B2CF9AE}" pid="6" name="DocHub_EngagementCategory">
    <vt:lpwstr>12307;#Marketing|213b9885-7b7f-4b8c-8280-f8048d7a4649</vt:lpwstr>
  </property>
  <property fmtid="{D5CDD505-2E9C-101B-9397-08002B2CF9AE}" pid="7" name="DocHub_SecurityClassification">
    <vt:lpwstr>3;#OFFICIAL|6106d03b-a1a0-4e30-9d91-d5e9fb4314f9</vt:lpwstr>
  </property>
  <property fmtid="{D5CDD505-2E9C-101B-9397-08002B2CF9AE}" pid="8" name="DocHub_Keywords">
    <vt:lpwstr>6404;#CDIC|75ee20eb-823a-45cc-b63c-eebecc1c4586;#33413;#News article|d3f4ccd2-1b87-4632-a517-fe0494a50492;#24303;#documents|9d602fe2-70e2-41ce-815a-38dbb022329d</vt:lpwstr>
  </property>
  <property fmtid="{D5CDD505-2E9C-101B-9397-08002B2CF9AE}" pid="9" name="DocHub_WorkActivity">
    <vt:lpwstr>1960;#Documentation|c2602086-3ba2-43df-98bd-90069d0414d9</vt:lpwstr>
  </property>
</Properties>
</file>