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1227F4" w14:textId="7CED2037" w:rsidR="00F37266" w:rsidRPr="00A505C7" w:rsidRDefault="009030D5" w:rsidP="00E27B2D">
      <w:pPr>
        <w:pStyle w:val="Heading1"/>
        <w:spacing w:before="480" w:after="360"/>
      </w:pPr>
      <w:r w:rsidRPr="00A505C7">
        <w:t>Innovation and Science Australia</w:t>
      </w:r>
      <w:r w:rsidR="00366A66">
        <w:tab/>
      </w:r>
      <w:r w:rsidR="00121B40" w:rsidRPr="00A505C7">
        <w:t>Information Paper</w:t>
      </w:r>
    </w:p>
    <w:p w14:paraId="1A1227F5" w14:textId="1C5F82F1" w:rsidR="009030D5" w:rsidRDefault="009030D5" w:rsidP="00357B99">
      <w:pPr>
        <w:tabs>
          <w:tab w:val="left" w:pos="7371"/>
        </w:tabs>
      </w:pPr>
      <w:r>
        <w:t>Innovation Investment Co</w:t>
      </w:r>
      <w:r w:rsidR="001732D0">
        <w:t>mmittee</w:t>
      </w:r>
      <w:r w:rsidR="00357B99">
        <w:t xml:space="preserve"> </w:t>
      </w:r>
      <w:r w:rsidR="00357B99">
        <w:tab/>
      </w:r>
      <w:r w:rsidR="001754B4">
        <w:t>Issued</w:t>
      </w:r>
      <w:r w:rsidR="002662E7">
        <w:t xml:space="preserve"> </w:t>
      </w:r>
      <w:r w:rsidR="0021068D">
        <w:t>May</w:t>
      </w:r>
      <w:r>
        <w:t xml:space="preserve"> 2018</w:t>
      </w:r>
    </w:p>
    <w:p w14:paraId="1A1227F8" w14:textId="77777777" w:rsidR="00A765F1" w:rsidRPr="00A134B4" w:rsidRDefault="00A765F1" w:rsidP="007F40E1">
      <w:pPr>
        <w:pStyle w:val="Heading2"/>
        <w:spacing w:before="600"/>
      </w:pPr>
      <w:r w:rsidRPr="00A134B4">
        <w:t>Exercise of discretion under section 9-4 (1) of the Venture Capital Act 2002</w:t>
      </w:r>
      <w:r w:rsidR="00877E44" w:rsidRPr="00A134B4">
        <w:t xml:space="preserve"> to allow </w:t>
      </w:r>
      <w:r w:rsidR="003C2DEB" w:rsidRPr="00A134B4">
        <w:t xml:space="preserve">a </w:t>
      </w:r>
      <w:r w:rsidR="00877E44" w:rsidRPr="00A134B4">
        <w:t xml:space="preserve">partner’s </w:t>
      </w:r>
      <w:r w:rsidR="003C2DEB" w:rsidRPr="00A134B4">
        <w:t>committed capital</w:t>
      </w:r>
      <w:r w:rsidR="00877E44" w:rsidRPr="00A134B4">
        <w:t xml:space="preserve"> in an Ear</w:t>
      </w:r>
      <w:r w:rsidR="003C2DEB" w:rsidRPr="00A134B4">
        <w:t>ly Stage Venture C</w:t>
      </w:r>
      <w:r w:rsidR="00877E44" w:rsidRPr="00A134B4">
        <w:t>apital Limited Partnership</w:t>
      </w:r>
      <w:r w:rsidR="003C2DEB" w:rsidRPr="00A134B4">
        <w:t xml:space="preserve"> to exceed 30 per cent of the Partnership’s committed capital.</w:t>
      </w:r>
    </w:p>
    <w:p w14:paraId="1A1227F9" w14:textId="77777777" w:rsidR="00877E44" w:rsidRDefault="00877E44" w:rsidP="00A765F1">
      <w:pPr>
        <w:jc w:val="center"/>
        <w:rPr>
          <w:b/>
        </w:rPr>
      </w:pPr>
    </w:p>
    <w:p w14:paraId="1A1227FA" w14:textId="77777777" w:rsidR="00877E44" w:rsidRPr="00A134B4" w:rsidRDefault="00877E44" w:rsidP="00A134B4">
      <w:pPr>
        <w:pStyle w:val="Heading3"/>
      </w:pPr>
      <w:r w:rsidRPr="00A134B4">
        <w:t>Purpose</w:t>
      </w:r>
    </w:p>
    <w:p w14:paraId="1A1227FB" w14:textId="6BDD6BA3" w:rsidR="003C2DEB" w:rsidRDefault="00877E44" w:rsidP="003C2DEB">
      <w:r>
        <w:t xml:space="preserve">This paper explains the approach Innovation and Science Australia (ISA) will take </w:t>
      </w:r>
      <w:r w:rsidR="00F81CFE">
        <w:t>in considering</w:t>
      </w:r>
      <w:r w:rsidR="00DA6CE8">
        <w:t xml:space="preserve"> </w:t>
      </w:r>
      <w:r w:rsidR="00F81CFE">
        <w:t>whether, on the application of a partner</w:t>
      </w:r>
      <w:r>
        <w:t xml:space="preserve"> in</w:t>
      </w:r>
      <w:r w:rsidR="003C2DEB" w:rsidRPr="003C2DEB">
        <w:rPr>
          <w:b/>
        </w:rPr>
        <w:t xml:space="preserve"> </w:t>
      </w:r>
      <w:r w:rsidR="003C2DEB" w:rsidRPr="003C2DEB">
        <w:t>an Early Stage Venture Capital Limited Partnership</w:t>
      </w:r>
      <w:r w:rsidR="00073389">
        <w:t xml:space="preserve"> (ESVCLP)</w:t>
      </w:r>
      <w:r w:rsidR="00F81CFE">
        <w:t xml:space="preserve">, </w:t>
      </w:r>
      <w:r w:rsidR="003C2DEB" w:rsidRPr="003C2DEB">
        <w:t xml:space="preserve">to </w:t>
      </w:r>
      <w:r w:rsidR="00DA6CE8">
        <w:t xml:space="preserve">make a decision under </w:t>
      </w:r>
      <w:r w:rsidR="00DA6CE8" w:rsidRPr="00441723">
        <w:t xml:space="preserve">section 9-4 </w:t>
      </w:r>
      <w:r w:rsidR="00727ACB" w:rsidRPr="00441723">
        <w:t xml:space="preserve">(1) </w:t>
      </w:r>
      <w:r w:rsidR="00DA6CE8" w:rsidRPr="00441723">
        <w:t>of</w:t>
      </w:r>
      <w:r w:rsidR="00DA6CE8" w:rsidRPr="00441723">
        <w:rPr>
          <w:i/>
        </w:rPr>
        <w:t xml:space="preserve"> </w:t>
      </w:r>
      <w:r w:rsidR="00DA6CE8" w:rsidRPr="00441723">
        <w:t xml:space="preserve">the </w:t>
      </w:r>
      <w:r w:rsidR="00DA6CE8" w:rsidRPr="00441723">
        <w:rPr>
          <w:i/>
        </w:rPr>
        <w:t>Venture Capital Act 2002</w:t>
      </w:r>
      <w:r w:rsidR="00DA6CE8" w:rsidRPr="00DA6CE8">
        <w:t xml:space="preserve"> </w:t>
      </w:r>
      <w:r w:rsidR="003304E2">
        <w:t xml:space="preserve">(the Act) </w:t>
      </w:r>
      <w:r w:rsidR="00DA6CE8">
        <w:t xml:space="preserve">to allow the partner’s committed capital in the partnership to </w:t>
      </w:r>
      <w:r w:rsidR="003C2DEB" w:rsidRPr="003C2DEB">
        <w:t>exceed 30</w:t>
      </w:r>
      <w:r w:rsidR="003D34E8">
        <w:t> </w:t>
      </w:r>
      <w:r w:rsidR="003C2DEB" w:rsidRPr="003C2DEB">
        <w:t>per</w:t>
      </w:r>
      <w:r w:rsidR="003D34E8">
        <w:t> </w:t>
      </w:r>
      <w:r w:rsidR="003C2DEB" w:rsidRPr="003C2DEB">
        <w:t xml:space="preserve">cent of </w:t>
      </w:r>
      <w:r w:rsidR="00DA6CE8">
        <w:t>the p</w:t>
      </w:r>
      <w:r w:rsidR="003C2DEB" w:rsidRPr="003C2DEB">
        <w:t>artnership’s committed capital.</w:t>
      </w:r>
    </w:p>
    <w:p w14:paraId="1A1227FD" w14:textId="77777777" w:rsidR="00C8245E" w:rsidRDefault="00CB0B04" w:rsidP="007956A2">
      <w:pPr>
        <w:pStyle w:val="Heading3"/>
      </w:pPr>
      <w:r w:rsidRPr="00CB0B04">
        <w:t>Policy intent</w:t>
      </w:r>
    </w:p>
    <w:p w14:paraId="1A1227FE" w14:textId="77777777" w:rsidR="0042115D" w:rsidRPr="00BA4925" w:rsidRDefault="0042115D" w:rsidP="0042115D">
      <w:bookmarkStart w:id="0" w:name="_Toc466276965"/>
      <w:r w:rsidRPr="00BA4925">
        <w:t>Section 9</w:t>
      </w:r>
      <w:r w:rsidRPr="00BA4925">
        <w:noBreakHyphen/>
        <w:t>4 (1) provides</w:t>
      </w:r>
      <w:bookmarkEnd w:id="0"/>
      <w:r w:rsidRPr="00BA4925">
        <w:t>:</w:t>
      </w:r>
    </w:p>
    <w:p w14:paraId="1A1227FF" w14:textId="77777777" w:rsidR="0042115D" w:rsidRPr="00480B0F" w:rsidRDefault="0042115D" w:rsidP="0042115D">
      <w:r w:rsidRPr="00260EA3">
        <w:rPr>
          <w:i/>
        </w:rPr>
        <w:t>Innovation and Science Australia may, on the application of a partner of a partnership, make a decision allowing the partner’s committed capital in the partnership to exceed 30% of the partnership’s committed capital</w:t>
      </w:r>
      <w:r w:rsidRPr="00480B0F">
        <w:t>.</w:t>
      </w:r>
    </w:p>
    <w:p w14:paraId="1A122800" w14:textId="77777777" w:rsidR="00CB0B04" w:rsidRDefault="00BA4925" w:rsidP="003C2DEB">
      <w:r w:rsidRPr="00BA4925">
        <w:t>In considering whether to exercise its discretion</w:t>
      </w:r>
      <w:r>
        <w:t xml:space="preserve"> under section 9-4(1) </w:t>
      </w:r>
      <w:r w:rsidR="00CB0B04" w:rsidRPr="00CB0B04">
        <w:t>ISA</w:t>
      </w:r>
      <w:r w:rsidR="00CB0B04">
        <w:t xml:space="preserve"> will have regard to the policy </w:t>
      </w:r>
      <w:r>
        <w:t>intent of the ESVCLP program</w:t>
      </w:r>
      <w:r w:rsidR="00CB0B04">
        <w:t xml:space="preserve">. The objective of the program is to encourage venture capital investment in early stage </w:t>
      </w:r>
      <w:r w:rsidR="000910B1">
        <w:t>start-up and expanding businesses with high growth potential</w:t>
      </w:r>
      <w:r w:rsidR="00CB0B04">
        <w:t xml:space="preserve">. </w:t>
      </w:r>
      <w:r w:rsidR="00182863">
        <w:t xml:space="preserve">To facilitate this the ESVCLP program provides </w:t>
      </w:r>
      <w:r w:rsidR="000910B1">
        <w:t>a pooled investment vehicle with flow-throu</w:t>
      </w:r>
      <w:r w:rsidR="00182863">
        <w:t>gh tax treatment and a complete tax exemption for income, both revenue and capital, received by domestic and foreign partners.</w:t>
      </w:r>
      <w:r w:rsidR="000910B1">
        <w:t xml:space="preserve"> </w:t>
      </w:r>
      <w:r w:rsidR="00CB0B04">
        <w:t xml:space="preserve">The program also aims to enhance the development of venture capital </w:t>
      </w:r>
      <w:r>
        <w:t xml:space="preserve">investment and </w:t>
      </w:r>
      <w:r w:rsidR="00CB0B04">
        <w:t>fund management skills.</w:t>
      </w:r>
      <w:r w:rsidR="00182863">
        <w:t xml:space="preserve"> </w:t>
      </w:r>
    </w:p>
    <w:p w14:paraId="1A122801" w14:textId="77777777" w:rsidR="00F04109" w:rsidRDefault="00FA7E28" w:rsidP="003C2DEB">
      <w:r w:rsidRPr="00FA7E28">
        <w:t>To ensure the pooled character of the investment vehicle, the Act requires that no partner’s share in an ESVCLP shall exceed 30 per cent of the ESVCLP’s committed capital (s9-3(1</w:t>
      </w:r>
      <w:proofErr w:type="gramStart"/>
      <w:r w:rsidRPr="00FA7E28">
        <w:t>)(</w:t>
      </w:r>
      <w:proofErr w:type="gramEnd"/>
      <w:r w:rsidRPr="00FA7E28">
        <w:t>e)</w:t>
      </w:r>
      <w:r w:rsidR="000124E7">
        <w:t xml:space="preserve"> of the Act</w:t>
      </w:r>
      <w:r w:rsidRPr="00FA7E28">
        <w:t xml:space="preserve">). This is subject </w:t>
      </w:r>
      <w:r w:rsidR="000124E7">
        <w:t xml:space="preserve">only </w:t>
      </w:r>
      <w:r w:rsidRPr="00FA7E28">
        <w:t>to the list of entities exempt fr</w:t>
      </w:r>
      <w:r w:rsidR="000124E7">
        <w:t>om the provision (see</w:t>
      </w:r>
      <w:r w:rsidRPr="00FA7E28">
        <w:t xml:space="preserve"> s</w:t>
      </w:r>
      <w:r w:rsidR="000124E7">
        <w:t xml:space="preserve">ection </w:t>
      </w:r>
      <w:r w:rsidRPr="00FA7E28">
        <w:t>9-3(5))</w:t>
      </w:r>
      <w:r w:rsidR="000124E7">
        <w:t xml:space="preserve"> and ISA’s discretion to exempt a partner from the 30 per cent cap</w:t>
      </w:r>
      <w:r w:rsidRPr="00FA7E28">
        <w:t>.</w:t>
      </w:r>
    </w:p>
    <w:p w14:paraId="1A122802" w14:textId="77777777" w:rsidR="00F04109" w:rsidRDefault="00394139" w:rsidP="003C2DEB">
      <w:r w:rsidRPr="00394139">
        <w:t xml:space="preserve">The </w:t>
      </w:r>
      <w:r w:rsidR="000124E7">
        <w:t xml:space="preserve">purpose of the </w:t>
      </w:r>
      <w:r w:rsidRPr="00394139">
        <w:t>30 per cent cap</w:t>
      </w:r>
      <w:r w:rsidR="00C23F34">
        <w:t xml:space="preserve"> on committed capital</w:t>
      </w:r>
      <w:r w:rsidRPr="00394139">
        <w:t xml:space="preserve"> </w:t>
      </w:r>
      <w:r w:rsidR="000124E7">
        <w:t xml:space="preserve">is to </w:t>
      </w:r>
      <w:r w:rsidRPr="00394139">
        <w:t>ensure a spread of investors</w:t>
      </w:r>
      <w:r w:rsidR="00C23F34">
        <w:t xml:space="preserve"> in the fund</w:t>
      </w:r>
      <w:r w:rsidR="0028339E">
        <w:t xml:space="preserve"> and</w:t>
      </w:r>
      <w:r w:rsidR="0028339E" w:rsidRPr="0028339E">
        <w:t xml:space="preserve"> to </w:t>
      </w:r>
      <w:r w:rsidR="0028339E">
        <w:t xml:space="preserve">assist in </w:t>
      </w:r>
      <w:r w:rsidR="0028339E" w:rsidRPr="0028339E">
        <w:t>build</w:t>
      </w:r>
      <w:r w:rsidR="0028339E">
        <w:t>ing</w:t>
      </w:r>
      <w:r w:rsidR="0028339E" w:rsidRPr="0028339E">
        <w:t xml:space="preserve"> a broad cohort of investors in the early stage venture capital sector.</w:t>
      </w:r>
    </w:p>
    <w:p w14:paraId="1A122803" w14:textId="46582AAB" w:rsidR="006D50AA" w:rsidRDefault="005D57FC" w:rsidP="003C2DEB">
      <w:r>
        <w:t>The following are e</w:t>
      </w:r>
      <w:r w:rsidR="000D4546">
        <w:t xml:space="preserve">xamples of situations where ISA may </w:t>
      </w:r>
      <w:r>
        <w:t>exercise its discretion</w:t>
      </w:r>
      <w:r w:rsidR="00FF366B">
        <w:t xml:space="preserve"> to allow a partner to commit more than 30 per cent of an ESVCLP’s committed ca</w:t>
      </w:r>
      <w:bookmarkStart w:id="1" w:name="_GoBack"/>
      <w:bookmarkEnd w:id="1"/>
      <w:r w:rsidR="00FF366B">
        <w:t>pital</w:t>
      </w:r>
      <w:r>
        <w:t>.</w:t>
      </w:r>
      <w:r w:rsidR="006D50AA">
        <w:br w:type="page"/>
      </w:r>
    </w:p>
    <w:p w14:paraId="16D9BA44" w14:textId="77777777" w:rsidR="00204522" w:rsidRDefault="00204522" w:rsidP="003C2DEB">
      <w:pPr>
        <w:rPr>
          <w:b/>
        </w:rPr>
      </w:pPr>
    </w:p>
    <w:p w14:paraId="1A122806" w14:textId="030D4B56" w:rsidR="000E6C5A" w:rsidRDefault="007340F2" w:rsidP="007956A2">
      <w:pPr>
        <w:pStyle w:val="Heading3"/>
      </w:pPr>
      <w:r>
        <w:t>Exempt entities i</w:t>
      </w:r>
      <w:r w:rsidR="006C508D">
        <w:t>nvesting through an intermediate</w:t>
      </w:r>
      <w:r w:rsidR="007230A8">
        <w:t xml:space="preserve"> entity</w:t>
      </w:r>
      <w:r w:rsidR="006C508D">
        <w:t xml:space="preserve"> </w:t>
      </w:r>
    </w:p>
    <w:p w14:paraId="59BBFDA8" w14:textId="248EDFF5" w:rsidR="007230A8" w:rsidRPr="007230A8" w:rsidRDefault="0085025B" w:rsidP="003C2DEB">
      <w:r>
        <w:t>A</w:t>
      </w:r>
      <w:r w:rsidR="007230A8">
        <w:t xml:space="preserve">n entity </w:t>
      </w:r>
      <w:r>
        <w:t xml:space="preserve">that </w:t>
      </w:r>
      <w:r w:rsidR="007230A8">
        <w:t>falls within one of the categories listed i</w:t>
      </w:r>
      <w:r>
        <w:t>n section 9-3(5) of the Act is</w:t>
      </w:r>
      <w:r w:rsidR="007230A8">
        <w:t xml:space="preserve"> exempt from the 30 per cent cap if investing into an ESVCLP directly</w:t>
      </w:r>
      <w:r w:rsidR="007E6B8B">
        <w:t xml:space="preserve">. </w:t>
      </w:r>
      <w:r w:rsidR="00D139D4">
        <w:t>If t</w:t>
      </w:r>
      <w:r>
        <w:t xml:space="preserve">he same entity </w:t>
      </w:r>
      <w:r w:rsidR="00D139D4">
        <w:t>invests</w:t>
      </w:r>
      <w:r w:rsidR="007230A8">
        <w:t xml:space="preserve"> indirectly </w:t>
      </w:r>
      <w:r>
        <w:t xml:space="preserve">into an ESVCLP </w:t>
      </w:r>
      <w:r w:rsidR="007230A8">
        <w:t>through an interme</w:t>
      </w:r>
      <w:r>
        <w:t>diate entity</w:t>
      </w:r>
      <w:r w:rsidR="00D139D4">
        <w:t>, the intermediate entity</w:t>
      </w:r>
      <w:r>
        <w:t xml:space="preserve"> will be subject to the cap.</w:t>
      </w:r>
      <w:r w:rsidR="00A20850">
        <w:t xml:space="preserve"> </w:t>
      </w:r>
      <w:r w:rsidR="007E6B8B">
        <w:t xml:space="preserve">However, ISA may make a decision </w:t>
      </w:r>
      <w:r w:rsidR="00F205F9">
        <w:t xml:space="preserve">under section 9-4(1) </w:t>
      </w:r>
      <w:r w:rsidR="007E6B8B">
        <w:t xml:space="preserve">to exempt an intermediate entity where </w:t>
      </w:r>
      <w:r w:rsidR="00073389">
        <w:t xml:space="preserve">the investors in </w:t>
      </w:r>
      <w:r w:rsidR="007E6B8B">
        <w:t xml:space="preserve">that entity </w:t>
      </w:r>
      <w:r w:rsidR="00073389">
        <w:t>are</w:t>
      </w:r>
      <w:r w:rsidR="00F205F9">
        <w:t xml:space="preserve"> </w:t>
      </w:r>
      <w:r w:rsidR="007E6B8B">
        <w:t xml:space="preserve">comprised only of entities exempt by </w:t>
      </w:r>
      <w:r w:rsidR="007E6B8B" w:rsidRPr="007E6B8B">
        <w:t>section 9-3(5)</w:t>
      </w:r>
      <w:r w:rsidR="007E6B8B">
        <w:t>.</w:t>
      </w:r>
    </w:p>
    <w:p w14:paraId="1A122807" w14:textId="57089CB5" w:rsidR="00431FA2" w:rsidRDefault="00A20850" w:rsidP="003C2DEB">
      <w:r>
        <w:t>For example, a</w:t>
      </w:r>
      <w:r w:rsidR="00BD7BD9">
        <w:t xml:space="preserve"> w</w:t>
      </w:r>
      <w:r w:rsidR="00BD7BD9" w:rsidRPr="00BD7BD9">
        <w:t xml:space="preserve">idely-held </w:t>
      </w:r>
      <w:r w:rsidR="00BD7BD9">
        <w:t xml:space="preserve">complying </w:t>
      </w:r>
      <w:r w:rsidR="00BD7BD9" w:rsidRPr="00BD7BD9">
        <w:t>superannuation</w:t>
      </w:r>
      <w:r w:rsidR="00BD7BD9">
        <w:t xml:space="preserve"> fund</w:t>
      </w:r>
      <w:r w:rsidR="007A4D10" w:rsidRPr="007A4D10">
        <w:t xml:space="preserve"> within the meaning of section 4A of the </w:t>
      </w:r>
      <w:r w:rsidR="007A4D10" w:rsidRPr="005E52DD">
        <w:rPr>
          <w:i/>
        </w:rPr>
        <w:t>Pooled Development Funds Act 1992</w:t>
      </w:r>
      <w:r w:rsidR="00BD7BD9">
        <w:t xml:space="preserve"> is one of the entities listed in </w:t>
      </w:r>
      <w:r w:rsidR="007A4D10">
        <w:t xml:space="preserve">section 9-3 (5) of the Act. </w:t>
      </w:r>
      <w:r w:rsidR="00415033">
        <w:t xml:space="preserve">Therefore, when investing into an ESVCLP directly the 30 per cent cap will not apply to the superannuation fund. </w:t>
      </w:r>
      <w:r w:rsidR="00BD3A98">
        <w:t>However, w</w:t>
      </w:r>
      <w:r w:rsidR="007A4D10">
        <w:t>here it is the practice of a complying fund to make its investments</w:t>
      </w:r>
      <w:r w:rsidR="00382B3B">
        <w:t xml:space="preserve"> indirectly</w:t>
      </w:r>
      <w:r w:rsidR="007A4D10">
        <w:t xml:space="preserve"> </w:t>
      </w:r>
      <w:r w:rsidR="00BD7BD9">
        <w:t>through a pooled superannuation trust</w:t>
      </w:r>
      <w:r w:rsidR="00BD3A98">
        <w:t xml:space="preserve"> (PST)</w:t>
      </w:r>
      <w:r w:rsidR="00382B3B">
        <w:t>,</w:t>
      </w:r>
      <w:r w:rsidR="00BD7BD9">
        <w:t xml:space="preserve"> </w:t>
      </w:r>
      <w:r w:rsidR="00BD3A98">
        <w:t>the PST will be subject to the cap</w:t>
      </w:r>
      <w:r w:rsidR="00382B3B">
        <w:t>.</w:t>
      </w:r>
      <w:r w:rsidR="00BD3A98">
        <w:t xml:space="preserve"> In this situation ISA may grant the PST an exemption from the cap so that the superannuation fund is placed in the same position it would have been in if investing directly</w:t>
      </w:r>
      <w:r w:rsidR="00E5562C">
        <w:t xml:space="preserve"> into the ESVCLP.</w:t>
      </w:r>
    </w:p>
    <w:p w14:paraId="1A122808" w14:textId="473CE6D2" w:rsidR="00DA4D4A" w:rsidRDefault="002160C5" w:rsidP="003C2DEB">
      <w:r>
        <w:t xml:space="preserve">ISA </w:t>
      </w:r>
      <w:r w:rsidR="00B02886">
        <w:t xml:space="preserve">may </w:t>
      </w:r>
      <w:r>
        <w:t xml:space="preserve">require </w:t>
      </w:r>
      <w:r w:rsidR="00B02886">
        <w:t>an applicant in these circumstances to satisfy it that</w:t>
      </w:r>
      <w:r>
        <w:t xml:space="preserve"> the PST will not </w:t>
      </w:r>
      <w:r w:rsidR="00D03D0B">
        <w:t xml:space="preserve">in the future </w:t>
      </w:r>
      <w:r w:rsidR="002212CE">
        <w:t xml:space="preserve">accept additional </w:t>
      </w:r>
      <w:r>
        <w:t>investors other than widely-held complying superannuation funds.</w:t>
      </w:r>
    </w:p>
    <w:p w14:paraId="1A122809" w14:textId="77777777" w:rsidR="00DB63F1" w:rsidRPr="00DB63F1" w:rsidRDefault="00DB63F1" w:rsidP="007956A2">
      <w:pPr>
        <w:pStyle w:val="Heading3"/>
      </w:pPr>
      <w:r w:rsidRPr="00DB63F1">
        <w:t>Where exemption is appropriate to facilitate the achievement of the objectives of another government program or government policy, where those objectives align substantially with the objectives of the ESVCLP program</w:t>
      </w:r>
    </w:p>
    <w:p w14:paraId="1A12280A" w14:textId="31457C9F" w:rsidR="00C23119" w:rsidRDefault="00C23119" w:rsidP="00C23119">
      <w:r>
        <w:t xml:space="preserve">This situation arises where fund managers </w:t>
      </w:r>
      <w:r w:rsidR="00073389">
        <w:rPr>
          <w:rFonts w:ascii="Calibri" w:hAnsi="Calibri"/>
          <w:lang w:val="en-GB"/>
        </w:rPr>
        <w:t xml:space="preserve">use ESVCLPs for </w:t>
      </w:r>
      <w:r w:rsidR="004A51DA">
        <w:rPr>
          <w:rFonts w:ascii="Calibri" w:hAnsi="Calibri"/>
          <w:lang w:val="en-GB"/>
        </w:rPr>
        <w:t>making investments under</w:t>
      </w:r>
      <w:r w:rsidR="00073389">
        <w:rPr>
          <w:rFonts w:ascii="Calibri" w:hAnsi="Calibri"/>
          <w:lang w:val="en-GB"/>
        </w:rPr>
        <w:t xml:space="preserve"> Australian Government co-investment progr</w:t>
      </w:r>
      <w:r w:rsidR="00C577B3">
        <w:rPr>
          <w:rFonts w:ascii="Calibri" w:hAnsi="Calibri"/>
          <w:lang w:val="en-GB"/>
        </w:rPr>
        <w:t xml:space="preserve">ams that involve the </w:t>
      </w:r>
      <w:r w:rsidR="000675C8">
        <w:rPr>
          <w:rFonts w:ascii="Calibri" w:hAnsi="Calibri"/>
          <w:lang w:val="en-GB"/>
        </w:rPr>
        <w:t xml:space="preserve">Australian </w:t>
      </w:r>
      <w:r w:rsidR="00C577B3">
        <w:rPr>
          <w:rFonts w:ascii="Calibri" w:hAnsi="Calibri"/>
          <w:lang w:val="en-GB"/>
        </w:rPr>
        <w:t>Government</w:t>
      </w:r>
      <w:r w:rsidR="00073389">
        <w:rPr>
          <w:rFonts w:ascii="Calibri" w:hAnsi="Calibri"/>
          <w:lang w:val="en-GB"/>
        </w:rPr>
        <w:t xml:space="preserve"> investing alongside private investors in the fund</w:t>
      </w:r>
      <w:r>
        <w:t xml:space="preserve">. These </w:t>
      </w:r>
      <w:r w:rsidR="002867F1">
        <w:t xml:space="preserve">co-investment </w:t>
      </w:r>
      <w:r>
        <w:t>programs typically require matching capital commitments to the effect tha</w:t>
      </w:r>
      <w:r w:rsidR="00871B5E">
        <w:t>t the Australian Government</w:t>
      </w:r>
      <w:r w:rsidR="002867F1">
        <w:t xml:space="preserve"> commits</w:t>
      </w:r>
      <w:r>
        <w:t xml:space="preserve"> </w:t>
      </w:r>
      <w:r w:rsidR="00C577B3">
        <w:t>more than 3</w:t>
      </w:r>
      <w:r>
        <w:t xml:space="preserve">0 per cent </w:t>
      </w:r>
      <w:r w:rsidR="002867F1">
        <w:t>of a fund’s capital. If no exemption was provided</w:t>
      </w:r>
      <w:r>
        <w:t xml:space="preserve"> </w:t>
      </w:r>
      <w:r w:rsidR="00871B5E">
        <w:t xml:space="preserve">the </w:t>
      </w:r>
      <w:r w:rsidR="000675C8">
        <w:t xml:space="preserve">Australian </w:t>
      </w:r>
      <w:r w:rsidR="00871B5E">
        <w:t>Government’</w:t>
      </w:r>
      <w:r w:rsidR="00AC35B6">
        <w:t>s</w:t>
      </w:r>
      <w:r w:rsidR="002867F1">
        <w:t xml:space="preserve"> share of committed capital would preclude registration of the fund</w:t>
      </w:r>
      <w:r>
        <w:t xml:space="preserve"> as an ESVCLP by reason of section 9-3</w:t>
      </w:r>
      <w:r w:rsidR="00710F50">
        <w:t>(1)(e)</w:t>
      </w:r>
      <w:r>
        <w:t xml:space="preserve"> of the A</w:t>
      </w:r>
      <w:r w:rsidR="002867F1">
        <w:t>ct. This may deter some investors</w:t>
      </w:r>
      <w:r>
        <w:t xml:space="preserve"> </w:t>
      </w:r>
      <w:r w:rsidR="002867F1">
        <w:t xml:space="preserve">and hinder the achievement of </w:t>
      </w:r>
      <w:r>
        <w:t xml:space="preserve">the objectives of these </w:t>
      </w:r>
      <w:r w:rsidR="00E2644C">
        <w:t>Australian G</w:t>
      </w:r>
      <w:r>
        <w:t>overnment programs.</w:t>
      </w:r>
    </w:p>
    <w:p w14:paraId="29446E6D" w14:textId="2D52AFC1" w:rsidR="00A04142" w:rsidRPr="004A51DA" w:rsidRDefault="000E6C5A" w:rsidP="007956A2">
      <w:pPr>
        <w:pStyle w:val="Heading3"/>
      </w:pPr>
      <w:r w:rsidRPr="000675C8">
        <w:t>A</w:t>
      </w:r>
      <w:r w:rsidR="00056439" w:rsidRPr="000675C8">
        <w:t xml:space="preserve">ustralian </w:t>
      </w:r>
      <w:r w:rsidR="009E3A4F" w:rsidRPr="00C23EBA">
        <w:t>venture capital f</w:t>
      </w:r>
      <w:r w:rsidR="00056439" w:rsidRPr="00C23EBA">
        <w:t xml:space="preserve">und of </w:t>
      </w:r>
      <w:r w:rsidR="009E3A4F" w:rsidRPr="00C23EBA">
        <w:t>f</w:t>
      </w:r>
      <w:r w:rsidR="00056439" w:rsidRPr="00C23EBA">
        <w:t>unds</w:t>
      </w:r>
      <w:r w:rsidR="005B1403">
        <w:t xml:space="preserve"> </w:t>
      </w:r>
    </w:p>
    <w:p w14:paraId="1A12280D" w14:textId="589CCFD9" w:rsidR="00480B0F" w:rsidRDefault="00AD519B" w:rsidP="003C2DEB">
      <w:r>
        <w:t xml:space="preserve">Where an </w:t>
      </w:r>
      <w:r w:rsidR="00AD2D9C">
        <w:t xml:space="preserve">exemption is sought for an </w:t>
      </w:r>
      <w:r w:rsidRPr="000675C8">
        <w:t xml:space="preserve">Australian </w:t>
      </w:r>
      <w:r w:rsidR="009E3A4F" w:rsidRPr="00C23EBA">
        <w:t>venture capital f</w:t>
      </w:r>
      <w:r w:rsidRPr="00C23EBA">
        <w:t>und of</w:t>
      </w:r>
      <w:r w:rsidR="009E3A4F" w:rsidRPr="00C23EBA">
        <w:t xml:space="preserve"> funds</w:t>
      </w:r>
      <w:r w:rsidR="009B0AD3" w:rsidRPr="000675C8">
        <w:t xml:space="preserve"> (AFOF</w:t>
      </w:r>
      <w:r w:rsidR="009B0AD3">
        <w:t xml:space="preserve">) </w:t>
      </w:r>
      <w:r w:rsidR="00AD2D9C">
        <w:t>to hold more than 30 per cent of an ESVCLP’</w:t>
      </w:r>
      <w:r w:rsidR="009B0AD3">
        <w:t xml:space="preserve">s committed capital ISA will </w:t>
      </w:r>
      <w:r w:rsidR="00B02886">
        <w:t>consider whether</w:t>
      </w:r>
      <w:r w:rsidR="009B0AD3">
        <w:t xml:space="preserve"> the A</w:t>
      </w:r>
      <w:r w:rsidR="00C20182">
        <w:t>FOF is</w:t>
      </w:r>
      <w:r w:rsidR="009B0AD3">
        <w:t xml:space="preserve"> widely-held</w:t>
      </w:r>
      <w:r w:rsidR="00C20182">
        <w:t xml:space="preserve"> and that there is no significant risk </w:t>
      </w:r>
      <w:r w:rsidR="005B1403">
        <w:t xml:space="preserve">that </w:t>
      </w:r>
      <w:r w:rsidR="00C20182">
        <w:t>the AFOF will cease to be widely-held</w:t>
      </w:r>
      <w:r w:rsidR="009B0AD3">
        <w:t>. ISA will consider an AFOF to be widely-held if it meets the definition of ‘widely-held’ in</w:t>
      </w:r>
      <w:r w:rsidR="00C20182">
        <w:t xml:space="preserve"> </w:t>
      </w:r>
      <w:r w:rsidR="004770E0">
        <w:t>s</w:t>
      </w:r>
      <w:r w:rsidR="00C20182" w:rsidRPr="00C20182">
        <w:t xml:space="preserve">ection 842-230(2) </w:t>
      </w:r>
      <w:r w:rsidR="00C20182" w:rsidRPr="00C23EBA">
        <w:rPr>
          <w:i/>
        </w:rPr>
        <w:t>Income Tax Assessment Act 1997</w:t>
      </w:r>
      <w:r w:rsidR="00C20182">
        <w:t>.</w:t>
      </w:r>
      <w:r w:rsidR="00F874FE">
        <w:t xml:space="preserve"> However, an investor in the AFOF falling within one of the categories of exempt entities listed in </w:t>
      </w:r>
      <w:r w:rsidR="00F874FE" w:rsidRPr="00F874FE">
        <w:t>section 9-3(5)</w:t>
      </w:r>
      <w:r w:rsidR="00F874FE">
        <w:t xml:space="preserve"> shall be excluded from consideration in determining whether the AFOF satisfies the widely-held test. </w:t>
      </w:r>
    </w:p>
    <w:p w14:paraId="1A12280E" w14:textId="77777777" w:rsidR="007B2AAC" w:rsidRDefault="007B2AAC" w:rsidP="007956A2">
      <w:pPr>
        <w:pStyle w:val="Heading3"/>
      </w:pPr>
      <w:r w:rsidRPr="007B2AAC">
        <w:t>General considerations for applicants</w:t>
      </w:r>
    </w:p>
    <w:p w14:paraId="2C799F1B" w14:textId="69E8149E" w:rsidR="0035184B" w:rsidRPr="0035184B" w:rsidRDefault="0035184B" w:rsidP="003C2DEB">
      <w:r w:rsidRPr="0035184B">
        <w:t xml:space="preserve">The examples </w:t>
      </w:r>
      <w:r>
        <w:t xml:space="preserve">provided do not confer an automatic exemption to the requirement of section </w:t>
      </w:r>
      <w:r w:rsidR="00390B45">
        <w:t>9</w:t>
      </w:r>
      <w:r w:rsidR="00BB679D">
        <w:noBreakHyphen/>
      </w:r>
      <w:proofErr w:type="gramStart"/>
      <w:r>
        <w:t>3(</w:t>
      </w:r>
      <w:proofErr w:type="gramEnd"/>
      <w:r>
        <w:t>1)(e)</w:t>
      </w:r>
      <w:r w:rsidR="00390B45">
        <w:t xml:space="preserve"> of the Act.</w:t>
      </w:r>
      <w:r w:rsidR="001E533D">
        <w:t xml:space="preserve"> Only entities in the categories listed in section 9-3(5) are exempt. Otherwise an exemption must be sought by application to ISA.</w:t>
      </w:r>
    </w:p>
    <w:p w14:paraId="33C6BBEC" w14:textId="77777777" w:rsidR="00C23EBA" w:rsidRDefault="00C23EBA" w:rsidP="002427DA"/>
    <w:p w14:paraId="1A12280F" w14:textId="77777777" w:rsidR="002427DA" w:rsidRPr="002427DA" w:rsidRDefault="002427DA" w:rsidP="002427DA">
      <w:r w:rsidRPr="002427DA">
        <w:lastRenderedPageBreak/>
        <w:t>A request for an exemption from the 30 per cent cap should explain the reasons the applicant relies on to justify the exercise of</w:t>
      </w:r>
      <w:r w:rsidR="00D66222">
        <w:t xml:space="preserve"> the discretion by ISA</w:t>
      </w:r>
      <w:r w:rsidRPr="002427DA">
        <w:t xml:space="preserve"> in the particular circumstances of the ESVCLP. The application should address:</w:t>
      </w:r>
    </w:p>
    <w:p w14:paraId="1A122810" w14:textId="77777777" w:rsidR="002427DA" w:rsidRPr="002427DA" w:rsidRDefault="002427DA" w:rsidP="002427DA">
      <w:pPr>
        <w:numPr>
          <w:ilvl w:val="1"/>
          <w:numId w:val="2"/>
        </w:numPr>
      </w:pPr>
      <w:r w:rsidRPr="002427DA">
        <w:t>how the ESVCLP objective to encourage venture capital investment in early stage and expanding Australian companies with high growth potential can only be achieved by the grant of an exemption;</w:t>
      </w:r>
    </w:p>
    <w:p w14:paraId="1562F252" w14:textId="77777777" w:rsidR="00975759" w:rsidRDefault="002427DA" w:rsidP="002427DA">
      <w:pPr>
        <w:numPr>
          <w:ilvl w:val="1"/>
          <w:numId w:val="2"/>
        </w:numPr>
      </w:pPr>
      <w:r w:rsidRPr="002427DA">
        <w:t xml:space="preserve">the extent to which the applicant’s proposal will maintain the character of a pooled investment fund; </w:t>
      </w:r>
    </w:p>
    <w:p w14:paraId="1A122811" w14:textId="1D72993F" w:rsidR="002427DA" w:rsidRPr="002427DA" w:rsidRDefault="00975759" w:rsidP="002427DA">
      <w:pPr>
        <w:numPr>
          <w:ilvl w:val="1"/>
          <w:numId w:val="2"/>
        </w:numPr>
      </w:pPr>
      <w:r>
        <w:t xml:space="preserve">how the exemption (and any conditions </w:t>
      </w:r>
      <w:r w:rsidR="00B02886">
        <w:t>the applicant</w:t>
      </w:r>
      <w:r>
        <w:t xml:space="preserve"> seeks </w:t>
      </w:r>
      <w:r w:rsidR="00712A06">
        <w:t>to have</w:t>
      </w:r>
      <w:r>
        <w:t xml:space="preserve"> attach</w:t>
      </w:r>
      <w:r w:rsidR="00712A06">
        <w:t>ed</w:t>
      </w:r>
      <w:r>
        <w:t xml:space="preserve"> to the exemption) will cohere with the overall scheme of the Act, be consistent with the purpose of the Act and not have the effect of supplementing the scheme</w:t>
      </w:r>
      <w:r w:rsidR="00A34307">
        <w:t xml:space="preserve"> in a manner inconsistent with it</w:t>
      </w:r>
      <w:r>
        <w:t xml:space="preserve"> or be inconsistent with the </w:t>
      </w:r>
      <w:r w:rsidR="00A34307">
        <w:t xml:space="preserve">express provisions </w:t>
      </w:r>
      <w:r>
        <w:t xml:space="preserve">of the Act; </w:t>
      </w:r>
      <w:r w:rsidR="002427DA" w:rsidRPr="002427DA">
        <w:t xml:space="preserve">and/or </w:t>
      </w:r>
    </w:p>
    <w:p w14:paraId="1A122812" w14:textId="77364157" w:rsidR="002427DA" w:rsidRPr="002427DA" w:rsidRDefault="002427DA" w:rsidP="002427DA">
      <w:pPr>
        <w:numPr>
          <w:ilvl w:val="1"/>
          <w:numId w:val="2"/>
        </w:numPr>
      </w:pPr>
      <w:proofErr w:type="gramStart"/>
      <w:r w:rsidRPr="002427DA">
        <w:t>the</w:t>
      </w:r>
      <w:proofErr w:type="gramEnd"/>
      <w:r w:rsidRPr="002427DA">
        <w:t xml:space="preserve"> extent to which the exemption request will facilitate the achievement of objectives of another government policy or program</w:t>
      </w:r>
      <w:r w:rsidR="00033936">
        <w:t>. The establishment of the ESVCLP and the exemption request</w:t>
      </w:r>
      <w:r w:rsidRPr="002427DA">
        <w:t xml:space="preserve"> </w:t>
      </w:r>
      <w:r w:rsidR="00033936">
        <w:t>must be directly related to a specifi</w:t>
      </w:r>
      <w:r w:rsidR="00CF0C17">
        <w:t>c Australian Government program</w:t>
      </w:r>
      <w:r w:rsidRPr="002427DA">
        <w:t xml:space="preserve">.  </w:t>
      </w:r>
    </w:p>
    <w:p w14:paraId="5D8C5BBB" w14:textId="77777777" w:rsidR="00387CE4" w:rsidRPr="00421841" w:rsidRDefault="00387CE4" w:rsidP="007956A2">
      <w:pPr>
        <w:pStyle w:val="Heading3"/>
      </w:pPr>
      <w:r w:rsidRPr="00421841">
        <w:t>ISA decisions</w:t>
      </w:r>
    </w:p>
    <w:p w14:paraId="37FAEB6C" w14:textId="3EED619E" w:rsidR="00E658ED" w:rsidRDefault="00B602CB" w:rsidP="00F779D7">
      <w:r>
        <w:t xml:space="preserve">Where </w:t>
      </w:r>
      <w:r w:rsidR="00387CE4">
        <w:t xml:space="preserve">ISA </w:t>
      </w:r>
      <w:r w:rsidR="00E309A7">
        <w:t xml:space="preserve">grants an exemption </w:t>
      </w:r>
      <w:r w:rsidR="00387CE4">
        <w:t>under section 9-4(1</w:t>
      </w:r>
      <w:r w:rsidR="00E309A7">
        <w:t>)</w:t>
      </w:r>
      <w:r w:rsidR="00387CE4">
        <w:t xml:space="preserve"> </w:t>
      </w:r>
      <w:r>
        <w:t>the</w:t>
      </w:r>
      <w:r w:rsidR="00293955">
        <w:t xml:space="preserve"> 30 per cent </w:t>
      </w:r>
      <w:r>
        <w:t xml:space="preserve">cap </w:t>
      </w:r>
      <w:r w:rsidR="00E309A7">
        <w:t>ceases to</w:t>
      </w:r>
      <w:r>
        <w:t xml:space="preserve"> apply to that </w:t>
      </w:r>
      <w:r w:rsidR="00387CE4">
        <w:t>partner’s committed capital.</w:t>
      </w:r>
      <w:r w:rsidR="00387CE4" w:rsidRPr="00C23EBA">
        <w:t> </w:t>
      </w:r>
      <w:r w:rsidR="00EF18DD" w:rsidRPr="00C23EBA">
        <w:t>ISA will not substitute an alternative cap.</w:t>
      </w:r>
    </w:p>
    <w:p w14:paraId="09DEF2FE" w14:textId="467CC8F5" w:rsidR="003F532B" w:rsidRPr="00C23EBA" w:rsidRDefault="003F532B" w:rsidP="00F779D7">
      <w:r>
        <w:t xml:space="preserve">However, ISA may attach other conditions </w:t>
      </w:r>
      <w:r w:rsidR="008B5EFF">
        <w:t xml:space="preserve">when making a decision </w:t>
      </w:r>
      <w:r w:rsidR="001A65A8">
        <w:t>if</w:t>
      </w:r>
      <w:r>
        <w:t xml:space="preserve"> it considers this </w:t>
      </w:r>
      <w:r w:rsidR="008B5EFF">
        <w:t xml:space="preserve">is </w:t>
      </w:r>
      <w:r>
        <w:t xml:space="preserve">appropriate </w:t>
      </w:r>
      <w:r w:rsidR="008B5EFF">
        <w:t xml:space="preserve">in order </w:t>
      </w:r>
      <w:r>
        <w:t>to maintain alignment with the policy objectives</w:t>
      </w:r>
      <w:r w:rsidRPr="007F08E8">
        <w:t xml:space="preserve"> </w:t>
      </w:r>
      <w:r>
        <w:t xml:space="preserve">of the ESVCLP program. </w:t>
      </w:r>
      <w:r w:rsidR="00B02886">
        <w:t xml:space="preserve">Conditions may be attached at the request of an applicant, or on ISA’s own motion. </w:t>
      </w:r>
      <w:r>
        <w:t xml:space="preserve">By way of example, </w:t>
      </w:r>
      <w:r w:rsidR="00F779D7">
        <w:t>ISA may</w:t>
      </w:r>
      <w:r w:rsidRPr="003F532B">
        <w:t xml:space="preserve"> </w:t>
      </w:r>
      <w:r w:rsidR="001A65A8">
        <w:t xml:space="preserve">stipulate that </w:t>
      </w:r>
      <w:r w:rsidRPr="003F532B">
        <w:t xml:space="preserve">the exemption </w:t>
      </w:r>
      <w:r w:rsidR="00B05481">
        <w:t>will</w:t>
      </w:r>
      <w:r w:rsidR="001A65A8">
        <w:t xml:space="preserve"> have</w:t>
      </w:r>
      <w:r w:rsidRPr="003F532B">
        <w:t xml:space="preserve"> effect </w:t>
      </w:r>
      <w:r w:rsidR="001A65A8">
        <w:t xml:space="preserve">for a limited period of time only. In this case </w:t>
      </w:r>
      <w:r w:rsidRPr="003F532B">
        <w:t xml:space="preserve">the partner’s share of committed capital </w:t>
      </w:r>
      <w:r w:rsidR="001A65A8">
        <w:t xml:space="preserve">in the partnership </w:t>
      </w:r>
      <w:r w:rsidR="00B05481">
        <w:t>must</w:t>
      </w:r>
      <w:r w:rsidR="001A65A8">
        <w:t xml:space="preserve"> comply with</w:t>
      </w:r>
      <w:r w:rsidR="00F6100B">
        <w:t xml:space="preserve"> the 30 per cent cap from</w:t>
      </w:r>
      <w:r w:rsidRPr="003F532B">
        <w:t xml:space="preserve"> the expiry of the time </w:t>
      </w:r>
      <w:r w:rsidRPr="009F02C9">
        <w:t>limit</w:t>
      </w:r>
      <w:r w:rsidR="001A65A8" w:rsidRPr="00C23EBA">
        <w:t xml:space="preserve"> set</w:t>
      </w:r>
      <w:r w:rsidR="00F779D7" w:rsidRPr="00C23EBA">
        <w:t>.</w:t>
      </w:r>
    </w:p>
    <w:p w14:paraId="7E47990D" w14:textId="08129DED" w:rsidR="0026787E" w:rsidRPr="001D5F3F" w:rsidRDefault="00387CE4" w:rsidP="00877E44">
      <w:r>
        <w:t xml:space="preserve">This guidance may be updated from time to time. </w:t>
      </w:r>
      <w:r w:rsidR="00CD05CA">
        <w:t xml:space="preserve"> </w:t>
      </w:r>
    </w:p>
    <w:sectPr w:rsidR="0026787E" w:rsidRPr="001D5F3F">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1D9DA0" w14:textId="77777777" w:rsidR="003B43AB" w:rsidRDefault="003B43AB" w:rsidP="009D7640">
      <w:pPr>
        <w:spacing w:after="0" w:line="240" w:lineRule="auto"/>
      </w:pPr>
      <w:r>
        <w:separator/>
      </w:r>
    </w:p>
  </w:endnote>
  <w:endnote w:type="continuationSeparator" w:id="0">
    <w:p w14:paraId="211C20C2" w14:textId="77777777" w:rsidR="003B43AB" w:rsidRDefault="003B43AB" w:rsidP="009D7640">
      <w:pPr>
        <w:spacing w:after="0" w:line="240" w:lineRule="auto"/>
      </w:pPr>
      <w:r>
        <w:continuationSeparator/>
      </w:r>
    </w:p>
  </w:endnote>
  <w:endnote w:type="continuationNotice" w:id="1">
    <w:p w14:paraId="51E91570" w14:textId="77777777" w:rsidR="003B43AB" w:rsidRDefault="003B43A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Microsoft Yi Baiti">
    <w:panose1 w:val="03000500000000000000"/>
    <w:charset w:val="00"/>
    <w:family w:val="script"/>
    <w:pitch w:val="variable"/>
    <w:sig w:usb0="80000003" w:usb1="00010402" w:usb2="00080002"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555554"/>
      <w:docPartObj>
        <w:docPartGallery w:val="Page Numbers (Bottom of Page)"/>
        <w:docPartUnique/>
      </w:docPartObj>
    </w:sdtPr>
    <w:sdtEndPr>
      <w:rPr>
        <w:noProof/>
      </w:rPr>
    </w:sdtEndPr>
    <w:sdtContent>
      <w:p w14:paraId="39122E49" w14:textId="6FF29E6F" w:rsidR="001A41F9" w:rsidRDefault="001A41F9">
        <w:pPr>
          <w:pStyle w:val="Footer"/>
        </w:pPr>
        <w:r>
          <w:fldChar w:fldCharType="begin"/>
        </w:r>
        <w:r>
          <w:instrText xml:space="preserve"> PAGE   \* MERGEFORMAT </w:instrText>
        </w:r>
        <w:r>
          <w:fldChar w:fldCharType="separate"/>
        </w:r>
        <w:r w:rsidR="00F27975">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D3A392" w14:textId="77777777" w:rsidR="003B43AB" w:rsidRDefault="003B43AB" w:rsidP="009D7640">
      <w:pPr>
        <w:spacing w:after="0" w:line="240" w:lineRule="auto"/>
      </w:pPr>
      <w:r>
        <w:separator/>
      </w:r>
    </w:p>
  </w:footnote>
  <w:footnote w:type="continuationSeparator" w:id="0">
    <w:p w14:paraId="7554719F" w14:textId="77777777" w:rsidR="003B43AB" w:rsidRDefault="003B43AB" w:rsidP="009D7640">
      <w:pPr>
        <w:spacing w:after="0" w:line="240" w:lineRule="auto"/>
      </w:pPr>
      <w:r>
        <w:continuationSeparator/>
      </w:r>
    </w:p>
  </w:footnote>
  <w:footnote w:type="continuationNotice" w:id="1">
    <w:p w14:paraId="34B254A6" w14:textId="77777777" w:rsidR="003B43AB" w:rsidRDefault="003B43A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12281C" w14:textId="4FA7996D" w:rsidR="0062219E" w:rsidRDefault="00204522">
    <w:pPr>
      <w:pStyle w:val="Header"/>
    </w:pPr>
    <w:r w:rsidRPr="00AD0CA1">
      <w:rPr>
        <w:rFonts w:ascii="Microsoft Yi Baiti" w:eastAsia="Microsoft Yi Baiti" w:hAnsi="Microsoft Yi Baiti" w:hint="eastAsia"/>
        <w:noProof/>
        <w:sz w:val="44"/>
        <w:szCs w:val="44"/>
        <w:lang w:eastAsia="en-AU"/>
      </w:rPr>
      <w:drawing>
        <wp:inline distT="0" distB="0" distL="0" distR="0" wp14:anchorId="49BA916A" wp14:editId="0502801E">
          <wp:extent cx="4653886" cy="611431"/>
          <wp:effectExtent l="0" t="0" r="0" b="0"/>
          <wp:docPr id="2" name="Picture 2" descr="Australian Government. Innovation and Science Australia(I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A_crest_inline.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653886" cy="61143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B3449F"/>
    <w:multiLevelType w:val="hybridMultilevel"/>
    <w:tmpl w:val="5C3287A0"/>
    <w:lvl w:ilvl="0" w:tplc="08090001">
      <w:start w:val="1"/>
      <w:numFmt w:val="bullet"/>
      <w:lvlText w:val=""/>
      <w:lvlJc w:val="left"/>
      <w:pPr>
        <w:ind w:left="360" w:hanging="360"/>
      </w:pPr>
      <w:rPr>
        <w:rFonts w:ascii="Symbol" w:hAnsi="Symbol" w:hint="default"/>
      </w:rPr>
    </w:lvl>
    <w:lvl w:ilvl="1" w:tplc="0C090017">
      <w:start w:val="1"/>
      <w:numFmt w:val="lowerLetter"/>
      <w:lvlText w:val="%2)"/>
      <w:lvlJc w:val="left"/>
      <w:pPr>
        <w:ind w:left="1080" w:hanging="360"/>
      </w:pPr>
      <w:rPr>
        <w:rFonts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A2D4955"/>
    <w:multiLevelType w:val="hybridMultilevel"/>
    <w:tmpl w:val="A656C826"/>
    <w:lvl w:ilvl="0" w:tplc="0C09000F">
      <w:start w:val="1"/>
      <w:numFmt w:val="decimal"/>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5DF266AA"/>
    <w:multiLevelType w:val="hybridMultilevel"/>
    <w:tmpl w:val="5C3287A0"/>
    <w:lvl w:ilvl="0" w:tplc="08090001">
      <w:start w:val="1"/>
      <w:numFmt w:val="bullet"/>
      <w:lvlText w:val=""/>
      <w:lvlJc w:val="left"/>
      <w:pPr>
        <w:ind w:left="360" w:hanging="360"/>
      </w:pPr>
      <w:rPr>
        <w:rFonts w:ascii="Symbol" w:hAnsi="Symbol" w:hint="default"/>
      </w:rPr>
    </w:lvl>
    <w:lvl w:ilvl="1" w:tplc="0C090017">
      <w:start w:val="1"/>
      <w:numFmt w:val="lowerLetter"/>
      <w:lvlText w:val="%2)"/>
      <w:lvlJc w:val="left"/>
      <w:pPr>
        <w:ind w:left="1080" w:hanging="360"/>
      </w:pPr>
      <w:rPr>
        <w:rFonts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216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0D5"/>
    <w:rsid w:val="000124E7"/>
    <w:rsid w:val="00033936"/>
    <w:rsid w:val="00050258"/>
    <w:rsid w:val="00056439"/>
    <w:rsid w:val="000675C8"/>
    <w:rsid w:val="00067A88"/>
    <w:rsid w:val="00073389"/>
    <w:rsid w:val="000910B1"/>
    <w:rsid w:val="000A5AE5"/>
    <w:rsid w:val="000D4546"/>
    <w:rsid w:val="000E6C5A"/>
    <w:rsid w:val="000F106F"/>
    <w:rsid w:val="00100916"/>
    <w:rsid w:val="0010618C"/>
    <w:rsid w:val="0010733E"/>
    <w:rsid w:val="00121B40"/>
    <w:rsid w:val="0016398A"/>
    <w:rsid w:val="001732D0"/>
    <w:rsid w:val="001754B4"/>
    <w:rsid w:val="00182863"/>
    <w:rsid w:val="001A41F9"/>
    <w:rsid w:val="001A4319"/>
    <w:rsid w:val="001A65A8"/>
    <w:rsid w:val="001D5F3F"/>
    <w:rsid w:val="001E2E7A"/>
    <w:rsid w:val="001E533D"/>
    <w:rsid w:val="001E64C5"/>
    <w:rsid w:val="001E72E4"/>
    <w:rsid w:val="001F05E4"/>
    <w:rsid w:val="001F4566"/>
    <w:rsid w:val="00204522"/>
    <w:rsid w:val="0021068D"/>
    <w:rsid w:val="002160C5"/>
    <w:rsid w:val="002212CE"/>
    <w:rsid w:val="00230055"/>
    <w:rsid w:val="00231F44"/>
    <w:rsid w:val="002427DA"/>
    <w:rsid w:val="00260EA3"/>
    <w:rsid w:val="002662E7"/>
    <w:rsid w:val="0026787E"/>
    <w:rsid w:val="0028339E"/>
    <w:rsid w:val="002867F1"/>
    <w:rsid w:val="00293955"/>
    <w:rsid w:val="002D4555"/>
    <w:rsid w:val="00304192"/>
    <w:rsid w:val="00317424"/>
    <w:rsid w:val="003304E2"/>
    <w:rsid w:val="0035184B"/>
    <w:rsid w:val="003562D1"/>
    <w:rsid w:val="00357B99"/>
    <w:rsid w:val="00366A66"/>
    <w:rsid w:val="00382B3B"/>
    <w:rsid w:val="00387CE4"/>
    <w:rsid w:val="00390B45"/>
    <w:rsid w:val="00394139"/>
    <w:rsid w:val="003A10C8"/>
    <w:rsid w:val="003B43AB"/>
    <w:rsid w:val="003B4C9F"/>
    <w:rsid w:val="003C2DEB"/>
    <w:rsid w:val="003D34E8"/>
    <w:rsid w:val="003F532B"/>
    <w:rsid w:val="00415033"/>
    <w:rsid w:val="0042115D"/>
    <w:rsid w:val="00431FA2"/>
    <w:rsid w:val="00441723"/>
    <w:rsid w:val="004770E0"/>
    <w:rsid w:val="00480B0F"/>
    <w:rsid w:val="004A51DA"/>
    <w:rsid w:val="004B47C9"/>
    <w:rsid w:val="0050414D"/>
    <w:rsid w:val="0054431E"/>
    <w:rsid w:val="005615DF"/>
    <w:rsid w:val="005B1403"/>
    <w:rsid w:val="005D57FC"/>
    <w:rsid w:val="005E52DD"/>
    <w:rsid w:val="0061724E"/>
    <w:rsid w:val="0062219E"/>
    <w:rsid w:val="006527F2"/>
    <w:rsid w:val="00677323"/>
    <w:rsid w:val="006856E6"/>
    <w:rsid w:val="006A41EC"/>
    <w:rsid w:val="006B05A4"/>
    <w:rsid w:val="006C261C"/>
    <w:rsid w:val="006C508D"/>
    <w:rsid w:val="006D50AA"/>
    <w:rsid w:val="00710F50"/>
    <w:rsid w:val="00712A06"/>
    <w:rsid w:val="007230A8"/>
    <w:rsid w:val="00727ACB"/>
    <w:rsid w:val="007340F2"/>
    <w:rsid w:val="00736CF4"/>
    <w:rsid w:val="00780847"/>
    <w:rsid w:val="007810DF"/>
    <w:rsid w:val="007956A2"/>
    <w:rsid w:val="007A4D10"/>
    <w:rsid w:val="007B2AAC"/>
    <w:rsid w:val="007B6E2B"/>
    <w:rsid w:val="007E6B8B"/>
    <w:rsid w:val="007F40E1"/>
    <w:rsid w:val="00802F3D"/>
    <w:rsid w:val="00803F8C"/>
    <w:rsid w:val="00831F4B"/>
    <w:rsid w:val="0085025B"/>
    <w:rsid w:val="00871B5E"/>
    <w:rsid w:val="00874DA1"/>
    <w:rsid w:val="00877E44"/>
    <w:rsid w:val="008B5EFF"/>
    <w:rsid w:val="008B7667"/>
    <w:rsid w:val="008E5CF0"/>
    <w:rsid w:val="008E5F05"/>
    <w:rsid w:val="008F008D"/>
    <w:rsid w:val="009030D5"/>
    <w:rsid w:val="00953F2E"/>
    <w:rsid w:val="00975759"/>
    <w:rsid w:val="009B0AD3"/>
    <w:rsid w:val="009C7732"/>
    <w:rsid w:val="009D7640"/>
    <w:rsid w:val="009E3A4F"/>
    <w:rsid w:val="009F02C9"/>
    <w:rsid w:val="00A04142"/>
    <w:rsid w:val="00A1340F"/>
    <w:rsid w:val="00A134B4"/>
    <w:rsid w:val="00A20850"/>
    <w:rsid w:val="00A34307"/>
    <w:rsid w:val="00A42A53"/>
    <w:rsid w:val="00A505C7"/>
    <w:rsid w:val="00A56486"/>
    <w:rsid w:val="00A765F1"/>
    <w:rsid w:val="00A86E9B"/>
    <w:rsid w:val="00AB2EF9"/>
    <w:rsid w:val="00AC35B6"/>
    <w:rsid w:val="00AD2D9C"/>
    <w:rsid w:val="00AD519B"/>
    <w:rsid w:val="00B02886"/>
    <w:rsid w:val="00B05481"/>
    <w:rsid w:val="00B1706F"/>
    <w:rsid w:val="00B602CB"/>
    <w:rsid w:val="00B61CAF"/>
    <w:rsid w:val="00B74BF4"/>
    <w:rsid w:val="00B971FB"/>
    <w:rsid w:val="00BA15C9"/>
    <w:rsid w:val="00BA4925"/>
    <w:rsid w:val="00BB679D"/>
    <w:rsid w:val="00BC61AE"/>
    <w:rsid w:val="00BD3A98"/>
    <w:rsid w:val="00BD7BD9"/>
    <w:rsid w:val="00BE0CAA"/>
    <w:rsid w:val="00BF194D"/>
    <w:rsid w:val="00C20182"/>
    <w:rsid w:val="00C23119"/>
    <w:rsid w:val="00C23EBA"/>
    <w:rsid w:val="00C23F34"/>
    <w:rsid w:val="00C26D67"/>
    <w:rsid w:val="00C35490"/>
    <w:rsid w:val="00C577B3"/>
    <w:rsid w:val="00C64AEA"/>
    <w:rsid w:val="00C8245E"/>
    <w:rsid w:val="00C835D7"/>
    <w:rsid w:val="00CA5275"/>
    <w:rsid w:val="00CB0B04"/>
    <w:rsid w:val="00CB4A62"/>
    <w:rsid w:val="00CD05CA"/>
    <w:rsid w:val="00CF0C17"/>
    <w:rsid w:val="00D03D0B"/>
    <w:rsid w:val="00D139D4"/>
    <w:rsid w:val="00D34979"/>
    <w:rsid w:val="00D60C0C"/>
    <w:rsid w:val="00D62EFF"/>
    <w:rsid w:val="00D66222"/>
    <w:rsid w:val="00D8233E"/>
    <w:rsid w:val="00DA4D4A"/>
    <w:rsid w:val="00DA6CE8"/>
    <w:rsid w:val="00DB63F1"/>
    <w:rsid w:val="00DD07D0"/>
    <w:rsid w:val="00DD2680"/>
    <w:rsid w:val="00DD6603"/>
    <w:rsid w:val="00E074C7"/>
    <w:rsid w:val="00E2644C"/>
    <w:rsid w:val="00E27B2D"/>
    <w:rsid w:val="00E309A7"/>
    <w:rsid w:val="00E5562C"/>
    <w:rsid w:val="00E658ED"/>
    <w:rsid w:val="00E80DB5"/>
    <w:rsid w:val="00E907BE"/>
    <w:rsid w:val="00EA0BCC"/>
    <w:rsid w:val="00ED3679"/>
    <w:rsid w:val="00EF18DD"/>
    <w:rsid w:val="00F04109"/>
    <w:rsid w:val="00F04AFD"/>
    <w:rsid w:val="00F13B64"/>
    <w:rsid w:val="00F205F9"/>
    <w:rsid w:val="00F27975"/>
    <w:rsid w:val="00F37266"/>
    <w:rsid w:val="00F44DEC"/>
    <w:rsid w:val="00F6100B"/>
    <w:rsid w:val="00F779D7"/>
    <w:rsid w:val="00F81CFE"/>
    <w:rsid w:val="00F874FE"/>
    <w:rsid w:val="00F875C2"/>
    <w:rsid w:val="00F974A8"/>
    <w:rsid w:val="00FA6C84"/>
    <w:rsid w:val="00FA7E28"/>
    <w:rsid w:val="00FD6D06"/>
    <w:rsid w:val="00FF0FA4"/>
    <w:rsid w:val="00FF366B"/>
    <w:rsid w:val="00FF72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A1227F4"/>
  <w15:chartTrackingRefBased/>
  <w15:docId w15:val="{DC9CF084-9AF6-4EA3-A8F7-608863083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A505C7"/>
    <w:pPr>
      <w:outlineLvl w:val="0"/>
    </w:pPr>
    <w:rPr>
      <w:rFonts w:ascii="Verdana" w:eastAsia="Times New Roman" w:hAnsi="Verdana" w:cs="Times New Roman"/>
      <w:b/>
      <w:kern w:val="28"/>
      <w:sz w:val="24"/>
      <w:szCs w:val="24"/>
      <w:lang w:eastAsia="en-AU"/>
    </w:rPr>
  </w:style>
  <w:style w:type="paragraph" w:styleId="Heading2">
    <w:name w:val="heading 2"/>
    <w:basedOn w:val="Normal"/>
    <w:next w:val="Normal"/>
    <w:link w:val="Heading2Char"/>
    <w:uiPriority w:val="9"/>
    <w:unhideWhenUsed/>
    <w:qFormat/>
    <w:rsid w:val="00A134B4"/>
    <w:pPr>
      <w:jc w:val="center"/>
      <w:outlineLvl w:val="1"/>
    </w:pPr>
    <w:rPr>
      <w:b/>
    </w:rPr>
  </w:style>
  <w:style w:type="paragraph" w:styleId="Heading3">
    <w:name w:val="heading 3"/>
    <w:basedOn w:val="Normal"/>
    <w:next w:val="Normal"/>
    <w:link w:val="Heading3Char"/>
    <w:uiPriority w:val="9"/>
    <w:unhideWhenUsed/>
    <w:qFormat/>
    <w:rsid w:val="00A134B4"/>
    <w:p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505C7"/>
    <w:rPr>
      <w:rFonts w:ascii="Verdana" w:eastAsia="Times New Roman" w:hAnsi="Verdana" w:cs="Times New Roman"/>
      <w:b/>
      <w:kern w:val="28"/>
      <w:sz w:val="24"/>
      <w:szCs w:val="24"/>
      <w:lang w:eastAsia="en-AU"/>
    </w:rPr>
  </w:style>
  <w:style w:type="paragraph" w:customStyle="1" w:styleId="subsection">
    <w:name w:val="subsection"/>
    <w:aliases w:val="ss"/>
    <w:basedOn w:val="Normal"/>
    <w:link w:val="subsectionChar"/>
    <w:rsid w:val="000D4546"/>
    <w:pPr>
      <w:tabs>
        <w:tab w:val="right" w:pos="1021"/>
      </w:tabs>
      <w:spacing w:before="180" w:after="0" w:line="240" w:lineRule="auto"/>
      <w:ind w:left="1134" w:hanging="1134"/>
    </w:pPr>
    <w:rPr>
      <w:rFonts w:ascii="Times New Roman" w:eastAsia="Times New Roman" w:hAnsi="Times New Roman" w:cs="Times New Roman"/>
      <w:szCs w:val="20"/>
      <w:lang w:eastAsia="en-AU"/>
    </w:rPr>
  </w:style>
  <w:style w:type="paragraph" w:customStyle="1" w:styleId="paragraph">
    <w:name w:val="paragraph"/>
    <w:aliases w:val="a"/>
    <w:basedOn w:val="Normal"/>
    <w:link w:val="paragraphChar"/>
    <w:rsid w:val="000D4546"/>
    <w:pPr>
      <w:tabs>
        <w:tab w:val="right" w:pos="1531"/>
      </w:tabs>
      <w:spacing w:before="40" w:after="0" w:line="240" w:lineRule="auto"/>
      <w:ind w:left="1644" w:hanging="1644"/>
    </w:pPr>
    <w:rPr>
      <w:rFonts w:ascii="Times New Roman" w:eastAsia="Times New Roman" w:hAnsi="Times New Roman" w:cs="Times New Roman"/>
      <w:szCs w:val="20"/>
      <w:lang w:eastAsia="en-AU"/>
    </w:rPr>
  </w:style>
  <w:style w:type="paragraph" w:customStyle="1" w:styleId="paragraphsub">
    <w:name w:val="paragraph(sub)"/>
    <w:aliases w:val="aa"/>
    <w:basedOn w:val="Normal"/>
    <w:rsid w:val="000D4546"/>
    <w:pPr>
      <w:tabs>
        <w:tab w:val="right" w:pos="1985"/>
      </w:tabs>
      <w:spacing w:before="40" w:after="0" w:line="240" w:lineRule="auto"/>
      <w:ind w:left="2098" w:hanging="2098"/>
    </w:pPr>
    <w:rPr>
      <w:rFonts w:ascii="Times New Roman" w:eastAsia="Times New Roman" w:hAnsi="Times New Roman" w:cs="Times New Roman"/>
      <w:szCs w:val="20"/>
      <w:lang w:eastAsia="en-AU"/>
    </w:rPr>
  </w:style>
  <w:style w:type="character" w:customStyle="1" w:styleId="paragraphChar">
    <w:name w:val="paragraph Char"/>
    <w:aliases w:val="a Char"/>
    <w:link w:val="paragraph"/>
    <w:rsid w:val="000D4546"/>
    <w:rPr>
      <w:rFonts w:ascii="Times New Roman" w:eastAsia="Times New Roman" w:hAnsi="Times New Roman" w:cs="Times New Roman"/>
      <w:szCs w:val="20"/>
      <w:lang w:eastAsia="en-AU"/>
    </w:rPr>
  </w:style>
  <w:style w:type="character" w:customStyle="1" w:styleId="subsectionChar">
    <w:name w:val="subsection Char"/>
    <w:aliases w:val="ss Char"/>
    <w:link w:val="subsection"/>
    <w:rsid w:val="000D4546"/>
    <w:rPr>
      <w:rFonts w:ascii="Times New Roman" w:eastAsia="Times New Roman" w:hAnsi="Times New Roman" w:cs="Times New Roman"/>
      <w:szCs w:val="20"/>
      <w:lang w:eastAsia="en-AU"/>
    </w:rPr>
  </w:style>
  <w:style w:type="paragraph" w:customStyle="1" w:styleId="ActHead5">
    <w:name w:val="ActHead 5"/>
    <w:aliases w:val="s"/>
    <w:basedOn w:val="Normal"/>
    <w:next w:val="subsection"/>
    <w:qFormat/>
    <w:rsid w:val="005D57FC"/>
    <w:pPr>
      <w:keepNext/>
      <w:keepLines/>
      <w:spacing w:before="280" w:after="0" w:line="240" w:lineRule="auto"/>
      <w:ind w:left="1134" w:hanging="1134"/>
      <w:outlineLvl w:val="4"/>
    </w:pPr>
    <w:rPr>
      <w:rFonts w:ascii="Times New Roman" w:eastAsia="Times New Roman" w:hAnsi="Times New Roman" w:cs="Times New Roman"/>
      <w:b/>
      <w:kern w:val="28"/>
      <w:sz w:val="24"/>
      <w:szCs w:val="20"/>
      <w:lang w:eastAsia="en-AU"/>
    </w:rPr>
  </w:style>
  <w:style w:type="character" w:customStyle="1" w:styleId="CharSectno">
    <w:name w:val="CharSectno"/>
    <w:basedOn w:val="DefaultParagraphFont"/>
    <w:qFormat/>
    <w:rsid w:val="005D57FC"/>
  </w:style>
  <w:style w:type="paragraph" w:customStyle="1" w:styleId="SubsectionHead">
    <w:name w:val="SubsectionHead"/>
    <w:aliases w:val="ssh"/>
    <w:basedOn w:val="Normal"/>
    <w:next w:val="subsection"/>
    <w:rsid w:val="005D57FC"/>
    <w:pPr>
      <w:keepNext/>
      <w:keepLines/>
      <w:spacing w:before="240" w:after="0" w:line="240" w:lineRule="auto"/>
      <w:ind w:left="1134"/>
    </w:pPr>
    <w:rPr>
      <w:rFonts w:ascii="Times New Roman" w:eastAsia="Times New Roman" w:hAnsi="Times New Roman" w:cs="Times New Roman"/>
      <w:i/>
      <w:szCs w:val="20"/>
      <w:lang w:eastAsia="en-AU"/>
    </w:rPr>
  </w:style>
  <w:style w:type="paragraph" w:styleId="Header">
    <w:name w:val="header"/>
    <w:basedOn w:val="Normal"/>
    <w:link w:val="HeaderChar"/>
    <w:uiPriority w:val="99"/>
    <w:unhideWhenUsed/>
    <w:rsid w:val="009D76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7640"/>
  </w:style>
  <w:style w:type="paragraph" w:styleId="Footer">
    <w:name w:val="footer"/>
    <w:basedOn w:val="Normal"/>
    <w:link w:val="FooterChar"/>
    <w:uiPriority w:val="99"/>
    <w:unhideWhenUsed/>
    <w:rsid w:val="009D76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7640"/>
  </w:style>
  <w:style w:type="paragraph" w:styleId="BalloonText">
    <w:name w:val="Balloon Text"/>
    <w:basedOn w:val="Normal"/>
    <w:link w:val="BalloonTextChar"/>
    <w:uiPriority w:val="99"/>
    <w:semiHidden/>
    <w:unhideWhenUsed/>
    <w:rsid w:val="00DD26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2680"/>
    <w:rPr>
      <w:rFonts w:ascii="Segoe UI" w:hAnsi="Segoe UI" w:cs="Segoe UI"/>
      <w:sz w:val="18"/>
      <w:szCs w:val="18"/>
    </w:rPr>
  </w:style>
  <w:style w:type="character" w:styleId="CommentReference">
    <w:name w:val="annotation reference"/>
    <w:basedOn w:val="DefaultParagraphFont"/>
    <w:uiPriority w:val="99"/>
    <w:semiHidden/>
    <w:unhideWhenUsed/>
    <w:rsid w:val="0016398A"/>
    <w:rPr>
      <w:sz w:val="16"/>
      <w:szCs w:val="16"/>
    </w:rPr>
  </w:style>
  <w:style w:type="paragraph" w:styleId="CommentText">
    <w:name w:val="annotation text"/>
    <w:basedOn w:val="Normal"/>
    <w:link w:val="CommentTextChar"/>
    <w:uiPriority w:val="99"/>
    <w:semiHidden/>
    <w:unhideWhenUsed/>
    <w:rsid w:val="0016398A"/>
    <w:pPr>
      <w:spacing w:line="240" w:lineRule="auto"/>
    </w:pPr>
    <w:rPr>
      <w:sz w:val="20"/>
      <w:szCs w:val="20"/>
    </w:rPr>
  </w:style>
  <w:style w:type="character" w:customStyle="1" w:styleId="CommentTextChar">
    <w:name w:val="Comment Text Char"/>
    <w:basedOn w:val="DefaultParagraphFont"/>
    <w:link w:val="CommentText"/>
    <w:uiPriority w:val="99"/>
    <w:semiHidden/>
    <w:rsid w:val="0016398A"/>
    <w:rPr>
      <w:sz w:val="20"/>
      <w:szCs w:val="20"/>
    </w:rPr>
  </w:style>
  <w:style w:type="paragraph" w:styleId="CommentSubject">
    <w:name w:val="annotation subject"/>
    <w:basedOn w:val="CommentText"/>
    <w:next w:val="CommentText"/>
    <w:link w:val="CommentSubjectChar"/>
    <w:uiPriority w:val="99"/>
    <w:semiHidden/>
    <w:unhideWhenUsed/>
    <w:rsid w:val="0016398A"/>
    <w:rPr>
      <w:b/>
      <w:bCs/>
    </w:rPr>
  </w:style>
  <w:style w:type="character" w:customStyle="1" w:styleId="CommentSubjectChar">
    <w:name w:val="Comment Subject Char"/>
    <w:basedOn w:val="CommentTextChar"/>
    <w:link w:val="CommentSubject"/>
    <w:uiPriority w:val="99"/>
    <w:semiHidden/>
    <w:rsid w:val="0016398A"/>
    <w:rPr>
      <w:b/>
      <w:bCs/>
      <w:sz w:val="20"/>
      <w:szCs w:val="20"/>
    </w:rPr>
  </w:style>
  <w:style w:type="paragraph" w:styleId="Revision">
    <w:name w:val="Revision"/>
    <w:hidden/>
    <w:uiPriority w:val="99"/>
    <w:semiHidden/>
    <w:rsid w:val="0016398A"/>
    <w:pPr>
      <w:spacing w:after="0" w:line="240" w:lineRule="auto"/>
    </w:pPr>
  </w:style>
  <w:style w:type="character" w:customStyle="1" w:styleId="Heading2Char">
    <w:name w:val="Heading 2 Char"/>
    <w:basedOn w:val="DefaultParagraphFont"/>
    <w:link w:val="Heading2"/>
    <w:uiPriority w:val="9"/>
    <w:rsid w:val="00A134B4"/>
    <w:rPr>
      <w:b/>
    </w:rPr>
  </w:style>
  <w:style w:type="character" w:customStyle="1" w:styleId="Heading3Char">
    <w:name w:val="Heading 3 Char"/>
    <w:basedOn w:val="DefaultParagraphFont"/>
    <w:link w:val="Heading3"/>
    <w:uiPriority w:val="9"/>
    <w:rsid w:val="00A134B4"/>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Microsoft Yi Baiti">
    <w:panose1 w:val="03000500000000000000"/>
    <w:charset w:val="00"/>
    <w:family w:val="script"/>
    <w:pitch w:val="variable"/>
    <w:sig w:usb0="80000003" w:usb1="00010402" w:usb2="00080002"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FA8"/>
    <w:rsid w:val="002F2F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8971BCC1A414AFC96FBCC3BF981AA9B">
    <w:name w:val="48971BCC1A414AFC96FBCC3BF981AA9B"/>
    <w:rsid w:val="002F2F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6A3DC03112F645A37E8AF8CF10FB59" ma:contentTypeVersion="14" ma:contentTypeDescription="Create a new document." ma:contentTypeScope="" ma:versionID="3dde2f1bea880a847c548143f7200ac1">
  <xsd:schema xmlns:xsd="http://www.w3.org/2001/XMLSchema" xmlns:xs="http://www.w3.org/2001/XMLSchema" xmlns:p="http://schemas.microsoft.com/office/2006/metadata/properties" xmlns:ns1="http://schemas.microsoft.com/sharepoint/v3" xmlns:ns2="cdd73b99-b600-467d-8b05-41f33179978b" xmlns:ns3="e526615e-434a-4b29-a795-43800d2355e9" targetNamespace="http://schemas.microsoft.com/office/2006/metadata/properties" ma:root="true" ma:fieldsID="f78b54a97fe404c90555a1b0959df588" ns1:_="" ns2:_="" ns3:_="">
    <xsd:import namespace="http://schemas.microsoft.com/sharepoint/v3"/>
    <xsd:import namespace="cdd73b99-b600-467d-8b05-41f33179978b"/>
    <xsd:import namespace="e526615e-434a-4b29-a795-43800d2355e9"/>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d73b99-b600-467d-8b05-41f33179978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6948bbdd-aea7-4500-bcec-9d90307b1195}" ma:internalName="TaxCatchAll" ma:showField="CatchAllData" ma:web="cdd73b99-b600-467d-8b05-41f33179978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a26d3d30-c4fe-4058-8dc3-a710e5fd0727"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526615e-434a-4b29-a795-43800d2355e9" elementFormDefault="qualified">
    <xsd:import namespace="http://schemas.microsoft.com/office/2006/documentManagement/types"/>
    <xsd:import namespace="http://schemas.microsoft.com/office/infopath/2007/PartnerControls"/>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omments xmlns="http://schemas.microsoft.com/sharepoint/v3">Information paper on s9-4 decision making. </Comments>
    <pe2555c81638466f9eb614edb9ecde52 xmlns="cdd73b99-b600-467d-8b05-41f33179978b">
      <Terms xmlns="http://schemas.microsoft.com/office/infopath/2007/PartnerControls">
        <TermInfo xmlns="http://schemas.microsoft.com/office/infopath/2007/PartnerControls">
          <TermName xmlns="http://schemas.microsoft.com/office/infopath/2007/PartnerControls">Guide</TermName>
          <TermId xmlns="http://schemas.microsoft.com/office/infopath/2007/PartnerControls">a4ca7698-9492-435d-8c80-0e92d5f30f1b</TermId>
        </TermInfo>
      </Terms>
    </pe2555c81638466f9eb614edb9ecde52>
    <n99e4c9942c6404eb103464a00e6097b xmlns="cdd73b99-b600-467d-8b05-41f33179978b">
      <Terms xmlns="http://schemas.microsoft.com/office/infopath/2007/PartnerControls">
        <TermInfo xmlns="http://schemas.microsoft.com/office/infopath/2007/PartnerControls">
          <TermName xmlns="http://schemas.microsoft.com/office/infopath/2007/PartnerControls">2018</TermName>
          <TermId xmlns="http://schemas.microsoft.com/office/infopath/2007/PartnerControls">224abc7b-6f7e-4064-b773-6750976429b5</TermId>
        </TermInfo>
      </Terms>
    </n99e4c9942c6404eb103464a00e6097b>
    <adb9bed2e36e4a93af574aeb444da63e xmlns="cdd73b99-b600-467d-8b05-41f33179978b">
      <Terms xmlns="http://schemas.microsoft.com/office/infopath/2007/PartnerControls">
        <TermInfo xmlns="http://schemas.microsoft.com/office/infopath/2007/PartnerControls">
          <TermName xmlns="http://schemas.microsoft.com/office/infopath/2007/PartnerControls">VC (Venture Capital)</TermName>
          <TermId xmlns="http://schemas.microsoft.com/office/infopath/2007/PartnerControls">e69f847b-8e60-46ea-8ca0-993bcf830af7</TermId>
        </TermInfo>
        <TermInfo xmlns="http://schemas.microsoft.com/office/infopath/2007/PartnerControls">
          <TermName xmlns="http://schemas.microsoft.com/office/infopath/2007/PartnerControls">ISA Board</TermName>
          <TermId xmlns="http://schemas.microsoft.com/office/infopath/2007/PartnerControls">6c8cdfa2-45bd-44b5-b39a-65b20764eba0</TermId>
        </TermInfo>
        <TermInfo xmlns="http://schemas.microsoft.com/office/infopath/2007/PartnerControls">
          <TermName xmlns="http://schemas.microsoft.com/office/infopath/2007/PartnerControls">IIC</TermName>
          <TermId xmlns="http://schemas.microsoft.com/office/infopath/2007/PartnerControls">10c62edf-d0d0-4114-859b-cb727060d488</TermId>
        </TermInfo>
      </Terms>
    </adb9bed2e36e4a93af574aeb444da63e>
    <TaxCatchAll xmlns="cdd73b99-b600-467d-8b05-41f33179978b">
      <Value>354</Value>
      <Value>30</Value>
      <Value>2475</Value>
      <Value>1259</Value>
      <Value>1520</Value>
      <Value>312</Value>
      <Value>2840</Value>
    </TaxCatchAll>
    <aa25a1a23adf4c92a153145de6afe324 xmlns="cdd73b99-b600-467d-8b05-41f33179978b">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6106d03b-a1a0-4e30-9d91-d5e9fb4314f9</TermId>
        </TermInfo>
      </Terms>
    </aa25a1a23adf4c92a153145de6afe324>
    <g7bcb40ba23249a78edca7d43a67c1c9 xmlns="cdd73b99-b600-467d-8b05-41f33179978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_dlc_DocId xmlns="cdd73b99-b600-467d-8b05-41f33179978b">2P6QMCT253UY-1880769200-522</_dlc_DocId>
    <_dlc_DocIdUrl xmlns="cdd73b99-b600-467d-8b05-41f33179978b">
      <Url>https://dochub/div/portfoliostrategicpolicy/businessfunctions/policydevelopimplement/businessfinance/_layouts/15/DocIdRedir.aspx?ID=2P6QMCT253UY-1880769200-522</Url>
      <Description>2P6QMCT253UY-1880769200-522</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86AD80-C9A8-4FCE-9172-09346D32C6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dd73b99-b600-467d-8b05-41f33179978b"/>
    <ds:schemaRef ds:uri="e526615e-434a-4b29-a795-43800d2355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140D8A-65A4-41D3-9D8B-C27C3B82F982}">
  <ds:schemaRefs>
    <ds:schemaRef ds:uri="http://schemas.microsoft.com/office/2006/metadata/properties"/>
    <ds:schemaRef ds:uri="http://www.w3.org/XML/1998/namespace"/>
    <ds:schemaRef ds:uri="http://schemas.microsoft.com/office/2006/documentManagement/types"/>
    <ds:schemaRef ds:uri="http://purl.org/dc/dcmitype/"/>
    <ds:schemaRef ds:uri="http://schemas.microsoft.com/sharepoint/v3"/>
    <ds:schemaRef ds:uri="http://purl.org/dc/terms/"/>
    <ds:schemaRef ds:uri="http://schemas.openxmlformats.org/package/2006/metadata/core-properties"/>
    <ds:schemaRef ds:uri="e526615e-434a-4b29-a795-43800d2355e9"/>
    <ds:schemaRef ds:uri="http://schemas.microsoft.com/office/infopath/2007/PartnerControls"/>
    <ds:schemaRef ds:uri="cdd73b99-b600-467d-8b05-41f33179978b"/>
    <ds:schemaRef ds:uri="http://purl.org/dc/elements/1.1/"/>
  </ds:schemaRefs>
</ds:datastoreItem>
</file>

<file path=customXml/itemProps3.xml><?xml version="1.0" encoding="utf-8"?>
<ds:datastoreItem xmlns:ds="http://schemas.openxmlformats.org/officeDocument/2006/customXml" ds:itemID="{0879A358-0DAB-4230-A38F-2C8A5D8ACF6F}">
  <ds:schemaRefs>
    <ds:schemaRef ds:uri="http://schemas.microsoft.com/sharepoint/v3/contenttype/forms"/>
  </ds:schemaRefs>
</ds:datastoreItem>
</file>

<file path=customXml/itemProps4.xml><?xml version="1.0" encoding="utf-8"?>
<ds:datastoreItem xmlns:ds="http://schemas.openxmlformats.org/officeDocument/2006/customXml" ds:itemID="{AA38A4FB-6BA4-442C-AB91-810196261712}">
  <ds:schemaRefs>
    <ds:schemaRef ds:uri="http://schemas.microsoft.com/sharepoint/events"/>
  </ds:schemaRefs>
</ds:datastoreItem>
</file>

<file path=customXml/itemProps5.xml><?xml version="1.0" encoding="utf-8"?>
<ds:datastoreItem xmlns:ds="http://schemas.openxmlformats.org/officeDocument/2006/customXml" ds:itemID="{5E6ACB81-B37D-47A8-96BB-50538F18F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1112</Words>
  <Characters>6343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Department of Industry, Innovation and Science</Company>
  <LinksUpToDate>false</LinksUpToDate>
  <CharactersWithSpaces>7441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Martin</dc:creator>
  <cp:keywords/>
  <dc:description/>
  <cp:lastModifiedBy>Cooper, Colin</cp:lastModifiedBy>
  <cp:revision>5</cp:revision>
  <cp:lastPrinted>2018-05-28T23:15:00Z</cp:lastPrinted>
  <dcterms:created xsi:type="dcterms:W3CDTF">2018-05-31T01:46:00Z</dcterms:created>
  <dcterms:modified xsi:type="dcterms:W3CDTF">2018-05-31T02:07:00Z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0x0101006C6A3DC03112F645A37E8AF8CF10FB59</vt:lpwstr>
  </property>
  <property fmtid="{D5CDD505-2E9C-101B-9397-08002B2CF9AE}" pid="3" name="_dlc_DocIdItemGuid">
    <vt:lpwstr>f316ddc2-7e3e-485d-84b1-db41dcb8c41a</vt:lpwstr>
  </property>
  <property fmtid="{D5CDD505-2E9C-101B-9397-08002B2CF9AE}" pid="4" name="DocHub_Year">
    <vt:lpwstr>2475;#2018|224abc7b-6f7e-4064-b773-6750976429b5</vt:lpwstr>
  </property>
  <property fmtid="{D5CDD505-2E9C-101B-9397-08002B2CF9AE}" pid="5" name="DocHub_DocumentType">
    <vt:lpwstr>1259;#Guide|a4ca7698-9492-435d-8c80-0e92d5f30f1b</vt:lpwstr>
  </property>
  <property fmtid="{D5CDD505-2E9C-101B-9397-08002B2CF9AE}" pid="6" name="DocHub_SecurityClassification">
    <vt:lpwstr>30;#UNCLASSIFIED|6106d03b-a1a0-4e30-9d91-d5e9fb4314f9</vt:lpwstr>
  </property>
  <property fmtid="{D5CDD505-2E9C-101B-9397-08002B2CF9AE}" pid="7" name="DocHub_Keywords">
    <vt:lpwstr>354;#VC (Venture Capital)|e69f847b-8e60-46ea-8ca0-993bcf830af7;#2840;#ISA Board|6c8cdfa2-45bd-44b5-b39a-65b20764eba0;#1520;#IIC|10c62edf-d0d0-4114-859b-cb727060d488</vt:lpwstr>
  </property>
  <property fmtid="{D5CDD505-2E9C-101B-9397-08002B2CF9AE}" pid="8" name="DocHub_WorkActivity">
    <vt:lpwstr>312;#Programme Management|e917d196-d1dd-46ca-8880-b205532cede6</vt:lpwstr>
  </property>
  <property fmtid="{D5CDD505-2E9C-101B-9397-08002B2CF9AE}" pid="9" name="DocHub_PhaseLifecycle">
    <vt:lpwstr/>
  </property>
  <property fmtid="{D5CDD505-2E9C-101B-9397-08002B2CF9AE}" pid="10" name="DocHub_EntityCustomer">
    <vt:lpwstr/>
  </property>
</Properties>
</file>