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4777" w14:textId="7435EE7A" w:rsidR="006709E4" w:rsidRPr="00F02684" w:rsidRDefault="00CD3BE6" w:rsidP="00F02684">
      <w:pPr>
        <w:pStyle w:val="Heading1"/>
      </w:pPr>
      <w:r>
        <w:t xml:space="preserve">FOREIGN INVESTMENT </w:t>
      </w:r>
    </w:p>
    <w:p w14:paraId="5389B6D4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6537B5E2" w14:textId="3A3C1803" w:rsidR="006709E4" w:rsidRPr="006C2EB8" w:rsidRDefault="00CD3BE6" w:rsidP="00E950FA">
      <w:pPr>
        <w:spacing w:before="120"/>
        <w:rPr>
          <w:rFonts w:ascii="Georgia" w:hAnsi="Georgia"/>
          <w:i/>
          <w:iCs/>
          <w:color w:val="808080" w:themeColor="text1" w:themeTint="7F"/>
          <w:sz w:val="28"/>
        </w:rPr>
        <w:sectPr w:rsidR="006709E4" w:rsidRPr="006C2EB8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rPr>
          <w:rStyle w:val="SubtleEmphasis"/>
        </w:rPr>
        <w:t xml:space="preserve">If </w:t>
      </w:r>
      <w:r w:rsidR="00F7337E">
        <w:rPr>
          <w:rStyle w:val="SubtleEmphasis"/>
        </w:rPr>
        <w:t>your</w:t>
      </w:r>
      <w:r>
        <w:rPr>
          <w:rStyle w:val="SubtleEmphasis"/>
        </w:rPr>
        <w:t xml:space="preserve"> project </w:t>
      </w:r>
      <w:r w:rsidR="00F7337E">
        <w:rPr>
          <w:rStyle w:val="SubtleEmphasis"/>
        </w:rPr>
        <w:t xml:space="preserve">involves </w:t>
      </w:r>
      <w:r>
        <w:rPr>
          <w:rStyle w:val="SubtleEmphasis"/>
        </w:rPr>
        <w:t xml:space="preserve">a foreign entity looking to invest in Australia, </w:t>
      </w:r>
      <w:r w:rsidR="009D0994">
        <w:rPr>
          <w:rStyle w:val="SubtleEmphasis"/>
        </w:rPr>
        <w:t xml:space="preserve">the foreign investor may need </w:t>
      </w:r>
      <w:r>
        <w:rPr>
          <w:rStyle w:val="SubtleEmphasis"/>
        </w:rPr>
        <w:t>approval</w:t>
      </w:r>
      <w:r w:rsidR="00AF73F9">
        <w:rPr>
          <w:rStyle w:val="SubtleEmphasis"/>
        </w:rPr>
        <w:t xml:space="preserve"> </w:t>
      </w:r>
      <w:r w:rsidR="005A3EF9">
        <w:rPr>
          <w:rStyle w:val="SubtleEmphasis"/>
        </w:rPr>
        <w:t>for the transaction from</w:t>
      </w:r>
      <w:r w:rsidR="00656391">
        <w:rPr>
          <w:rStyle w:val="SubtleEmphasis"/>
        </w:rPr>
        <w:t xml:space="preserve"> the </w:t>
      </w:r>
      <w:r w:rsidR="00165644">
        <w:rPr>
          <w:rStyle w:val="SubtleEmphasis"/>
        </w:rPr>
        <w:t>Treasurer, advised by the Foreign Investment Review Board,</w:t>
      </w:r>
      <w:r w:rsidR="009D0994">
        <w:rPr>
          <w:rStyle w:val="SubtleEmphasis"/>
        </w:rPr>
        <w:t xml:space="preserve"> before </w:t>
      </w:r>
      <w:r w:rsidR="005A3EF9">
        <w:rPr>
          <w:rStyle w:val="SubtleEmphasis"/>
        </w:rPr>
        <w:t>the</w:t>
      </w:r>
      <w:r w:rsidR="009D0994">
        <w:rPr>
          <w:rStyle w:val="SubtleEmphasis"/>
        </w:rPr>
        <w:t xml:space="preserve"> transaction can occur. I</w:t>
      </w:r>
      <w:r>
        <w:rPr>
          <w:rStyle w:val="SubtleEmphasis"/>
        </w:rPr>
        <w:t>n</w:t>
      </w:r>
      <w:r w:rsidR="00EC2591">
        <w:rPr>
          <w:rStyle w:val="SubtleEmphasis"/>
        </w:rPr>
        <w:t xml:space="preserve">vestment proposals </w:t>
      </w:r>
      <w:r w:rsidR="009D0994">
        <w:rPr>
          <w:rStyle w:val="SubtleEmphasis"/>
        </w:rPr>
        <w:t xml:space="preserve">are considered on </w:t>
      </w:r>
      <w:r w:rsidR="00EC2591">
        <w:rPr>
          <w:rStyle w:val="SubtleEmphasis"/>
        </w:rPr>
        <w:t>a case-by-</w:t>
      </w:r>
      <w:r>
        <w:rPr>
          <w:rStyle w:val="SubtleEmphasis"/>
        </w:rPr>
        <w:t xml:space="preserve">case basis to ensure they </w:t>
      </w:r>
      <w:r w:rsidR="003B2900">
        <w:rPr>
          <w:rStyle w:val="SubtleEmphasis"/>
        </w:rPr>
        <w:t xml:space="preserve">are not contrary to </w:t>
      </w:r>
      <w:r w:rsidR="001A7F93">
        <w:rPr>
          <w:rStyle w:val="SubtleEmphasis"/>
        </w:rPr>
        <w:t>Australia’s</w:t>
      </w:r>
      <w:r w:rsidR="00F7337E">
        <w:rPr>
          <w:rStyle w:val="SubtleEmphasis"/>
        </w:rPr>
        <w:t xml:space="preserve"> </w:t>
      </w:r>
      <w:r w:rsidR="006C2EB8">
        <w:rPr>
          <w:rStyle w:val="SubtleEmphasis"/>
        </w:rPr>
        <w:t>national interest</w:t>
      </w:r>
      <w:r w:rsidR="003B2900">
        <w:rPr>
          <w:rStyle w:val="SubtleEmphasis"/>
        </w:rPr>
        <w:t xml:space="preserve"> or national security</w:t>
      </w:r>
      <w:r w:rsidR="006C2EB8">
        <w:rPr>
          <w:rStyle w:val="SubtleEmphasis"/>
        </w:rPr>
        <w:t>.</w:t>
      </w:r>
    </w:p>
    <w:p w14:paraId="25499B42" w14:textId="447EA6C2" w:rsidR="00B82084" w:rsidRPr="00E837DD" w:rsidRDefault="00B82084" w:rsidP="00BD17F9">
      <w:pPr>
        <w:pStyle w:val="Heading2"/>
        <w:spacing w:before="120"/>
      </w:pPr>
      <w:r w:rsidRPr="00E837DD">
        <w:t>1.</w:t>
      </w:r>
      <w:r w:rsidRPr="00E837DD">
        <w:tab/>
      </w:r>
      <w:r w:rsidR="00CD3BE6" w:rsidRPr="00E837DD">
        <w:t xml:space="preserve">What approvals </w:t>
      </w:r>
      <w:r w:rsidR="00BE7991" w:rsidRPr="00E837DD">
        <w:t>do I need?</w:t>
      </w:r>
    </w:p>
    <w:p w14:paraId="13D60BFF" w14:textId="7355BA9C" w:rsidR="00943B1E" w:rsidRDefault="00F7337E" w:rsidP="00BD17F9">
      <w:r>
        <w:t xml:space="preserve">Approval </w:t>
      </w:r>
      <w:r w:rsidR="003F2E74">
        <w:t xml:space="preserve">may be </w:t>
      </w:r>
      <w:r>
        <w:t xml:space="preserve">required for </w:t>
      </w:r>
      <w:r w:rsidRPr="00943B1E">
        <w:t>foreign</w:t>
      </w:r>
      <w:r w:rsidR="00943B1E" w:rsidRPr="00943B1E">
        <w:t xml:space="preserve"> </w:t>
      </w:r>
      <w:r>
        <w:t>entities</w:t>
      </w:r>
      <w:r w:rsidR="00A64CC2">
        <w:t xml:space="preserve"> before </w:t>
      </w:r>
      <w:r>
        <w:t xml:space="preserve">acquiring </w:t>
      </w:r>
      <w:r w:rsidR="00943B1E" w:rsidRPr="00943B1E">
        <w:t>interest</w:t>
      </w:r>
      <w:r>
        <w:t>s</w:t>
      </w:r>
      <w:r w:rsidR="00943B1E" w:rsidRPr="00943B1E">
        <w:t xml:space="preserve"> in </w:t>
      </w:r>
      <w:r w:rsidR="00985C42">
        <w:t>land</w:t>
      </w:r>
      <w:r w:rsidR="00943B1E" w:rsidRPr="00943B1E">
        <w:t xml:space="preserve"> or mak</w:t>
      </w:r>
      <w:r w:rsidR="00A64CC2">
        <w:t>ing</w:t>
      </w:r>
      <w:r w:rsidR="00943B1E" w:rsidRPr="00943B1E">
        <w:t xml:space="preserve"> business </w:t>
      </w:r>
      <w:r w:rsidR="006C2EB8" w:rsidRPr="00943B1E">
        <w:t>investments</w:t>
      </w:r>
      <w:r w:rsidR="006C2EB8">
        <w:rPr>
          <w:vertAlign w:val="superscript"/>
        </w:rPr>
        <w:t xml:space="preserve"> [1]</w:t>
      </w:r>
      <w:r w:rsidR="006C2EB8">
        <w:t xml:space="preserve"> </w:t>
      </w:r>
      <w:r>
        <w:t>including</w:t>
      </w:r>
      <w:r w:rsidR="00656391">
        <w:t xml:space="preserve"> (but not limited to)</w:t>
      </w:r>
      <w:r w:rsidR="00530BAF">
        <w:t>:</w:t>
      </w:r>
      <w:r w:rsidR="001B074D">
        <w:t xml:space="preserve"> </w:t>
      </w:r>
    </w:p>
    <w:p w14:paraId="1596E106" w14:textId="5DA3B682" w:rsidR="007D44FD" w:rsidRDefault="001B074D" w:rsidP="00BD17F9">
      <w:pPr>
        <w:pStyle w:val="ListParagraph"/>
        <w:numPr>
          <w:ilvl w:val="0"/>
          <w:numId w:val="19"/>
        </w:numPr>
      </w:pPr>
      <w:r>
        <w:t>acquisition</w:t>
      </w:r>
      <w:r w:rsidR="007D44FD" w:rsidRPr="00947B6C">
        <w:t xml:space="preserve"> of Australian </w:t>
      </w:r>
      <w:r w:rsidR="00985C42">
        <w:t>land</w:t>
      </w:r>
      <w:r>
        <w:t xml:space="preserve"> (</w:t>
      </w:r>
      <w:r w:rsidR="007D44FD" w:rsidRPr="00947B6C">
        <w:t xml:space="preserve">agricultural, </w:t>
      </w:r>
      <w:r w:rsidR="00315939">
        <w:t xml:space="preserve">mining, </w:t>
      </w:r>
      <w:r w:rsidR="00943B1E">
        <w:t>residential</w:t>
      </w:r>
      <w:r w:rsidR="007D44FD" w:rsidRPr="00947B6C">
        <w:t xml:space="preserve"> and co</w:t>
      </w:r>
      <w:bookmarkStart w:id="0" w:name="_GoBack"/>
      <w:bookmarkEnd w:id="0"/>
      <w:r w:rsidR="007D44FD" w:rsidRPr="00947B6C">
        <w:t>mmercial</w:t>
      </w:r>
      <w:r>
        <w:t>)</w:t>
      </w:r>
    </w:p>
    <w:p w14:paraId="58435D2C" w14:textId="3346844A" w:rsidR="001B074D" w:rsidRDefault="00CD3BE6" w:rsidP="00BD17F9">
      <w:pPr>
        <w:pStyle w:val="ListParagraph"/>
        <w:numPr>
          <w:ilvl w:val="0"/>
          <w:numId w:val="19"/>
        </w:numPr>
      </w:pPr>
      <w:r w:rsidRPr="00947B6C">
        <w:t>acqui</w:t>
      </w:r>
      <w:r w:rsidR="001B074D">
        <w:t>sition</w:t>
      </w:r>
      <w:r w:rsidR="00943B1E">
        <w:t xml:space="preserve"> of</w:t>
      </w:r>
      <w:r w:rsidRPr="00947B6C">
        <w:t xml:space="preserve"> an interest</w:t>
      </w:r>
      <w:r w:rsidR="00004830">
        <w:t xml:space="preserve"> in an Australia business (</w:t>
      </w:r>
      <w:r w:rsidR="003F2E74">
        <w:t xml:space="preserve">generally </w:t>
      </w:r>
      <w:r w:rsidR="00004830">
        <w:t>20%</w:t>
      </w:r>
      <w:r w:rsidR="001B074D">
        <w:t xml:space="preserve"> or more)</w:t>
      </w:r>
      <w:r w:rsidRPr="00947B6C">
        <w:t xml:space="preserve"> </w:t>
      </w:r>
    </w:p>
    <w:p w14:paraId="2B5A5174" w14:textId="0A4D3DE9" w:rsidR="00825257" w:rsidRDefault="0097070B" w:rsidP="00BD17F9">
      <w:pPr>
        <w:pStyle w:val="ListParagraph"/>
        <w:numPr>
          <w:ilvl w:val="0"/>
          <w:numId w:val="19"/>
        </w:numPr>
      </w:pPr>
      <w:r>
        <w:t>direct investments in agribusiness</w:t>
      </w:r>
      <w:r w:rsidR="0082186E">
        <w:t xml:space="preserve"> (generally 10% or in a position of control)</w:t>
      </w:r>
      <w:r>
        <w:t xml:space="preserve">, </w:t>
      </w:r>
      <w:r w:rsidR="007D44FD">
        <w:t>or</w:t>
      </w:r>
      <w:r w:rsidR="00005F6A" w:rsidRPr="00005F6A">
        <w:t xml:space="preserve"> </w:t>
      </w:r>
    </w:p>
    <w:p w14:paraId="42F39B45" w14:textId="2E72018F" w:rsidR="00822027" w:rsidRDefault="000F541A" w:rsidP="00BD17F9">
      <w:pPr>
        <w:pStyle w:val="ListParagraph"/>
        <w:numPr>
          <w:ilvl w:val="0"/>
          <w:numId w:val="19"/>
        </w:numPr>
      </w:pPr>
      <w:r>
        <w:t xml:space="preserve">direct </w:t>
      </w:r>
      <w:r w:rsidR="003B2900">
        <w:t xml:space="preserve">investments in </w:t>
      </w:r>
      <w:r w:rsidR="0082186E">
        <w:t>national security business</w:t>
      </w:r>
      <w:r w:rsidR="00E30CC4">
        <w:t>es</w:t>
      </w:r>
      <w:r w:rsidR="0082186E">
        <w:t xml:space="preserve"> or national security land</w:t>
      </w:r>
      <w:r w:rsidR="00005F6A">
        <w:t>.</w:t>
      </w:r>
    </w:p>
    <w:p w14:paraId="1599B87C" w14:textId="4F4AE702" w:rsidR="005964E6" w:rsidRDefault="005964E6" w:rsidP="005964E6">
      <w:r>
        <w:t xml:space="preserve">Specific guidance for certain actions are </w:t>
      </w:r>
      <w:hyperlink r:id="rId16" w:history="1">
        <w:r w:rsidRPr="005964E6">
          <w:rPr>
            <w:rStyle w:val="Hyperlink"/>
          </w:rPr>
          <w:t>here</w:t>
        </w:r>
      </w:hyperlink>
      <w:r>
        <w:t>.</w:t>
      </w:r>
    </w:p>
    <w:p w14:paraId="16986E86" w14:textId="77777777" w:rsidR="00B209D2" w:rsidRPr="00B209D2" w:rsidRDefault="00B209D2" w:rsidP="00B209D2">
      <w:pPr>
        <w:pStyle w:val="Custom4"/>
        <w:spacing w:beforeLines="30" w:before="72" w:afterLines="30" w:after="72" w:line="240" w:lineRule="auto"/>
        <w:ind w:left="0"/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14"/>
          <w:szCs w:val="14"/>
        </w:rPr>
      </w:pPr>
      <w:r w:rsidRPr="00822027">
        <w:rPr>
          <w:color w:val="auto"/>
          <w:sz w:val="14"/>
          <w:szCs w:val="14"/>
          <w:vertAlign w:val="superscript"/>
        </w:rPr>
        <w:t>[1]</w:t>
      </w:r>
      <w:r w:rsidRPr="00822027">
        <w:rPr>
          <w:color w:val="auto"/>
          <w:sz w:val="14"/>
          <w:szCs w:val="14"/>
        </w:rPr>
        <w:t>Subject to monetary screening thresholds (AUD). Different thresholds may apply for free trade agreement partners.</w:t>
      </w:r>
    </w:p>
    <w:p w14:paraId="50416871" w14:textId="77777777" w:rsidR="00B82084" w:rsidRPr="00E837DD" w:rsidRDefault="006C2EB8" w:rsidP="00E54498">
      <w:pPr>
        <w:pStyle w:val="Heading2"/>
      </w:pPr>
      <w:r w:rsidRPr="00E837DD">
        <w:t>2</w:t>
      </w:r>
      <w:r w:rsidR="00B82084" w:rsidRPr="00E837DD">
        <w:t>.</w:t>
      </w:r>
      <w:r w:rsidR="00B82084" w:rsidRPr="00E837DD">
        <w:tab/>
      </w:r>
      <w:r w:rsidRPr="00E837DD">
        <w:t>Who provides approvals?</w:t>
      </w:r>
    </w:p>
    <w:p w14:paraId="4698E875" w14:textId="6AC74DA0" w:rsidR="005A3EF9" w:rsidRPr="00DB646E" w:rsidRDefault="003F2E74" w:rsidP="00DB646E">
      <w:pPr>
        <w:rPr>
          <w:b/>
          <w:i/>
          <w:sz w:val="24"/>
          <w:szCs w:val="22"/>
        </w:rPr>
      </w:pPr>
      <w:r w:rsidRPr="003F2E74">
        <w:t xml:space="preserve">The Treasurer is ultimately responsible for all decisions relating to foreign investment. The Treasurer is advised and assisted by </w:t>
      </w:r>
      <w:r w:rsidR="00E30CC4">
        <w:t xml:space="preserve">Treasury and </w:t>
      </w:r>
      <w:r w:rsidRPr="003F2E74">
        <w:t>the Foreig</w:t>
      </w:r>
      <w:r w:rsidR="00735BA3">
        <w:t>n Investment Review Board</w:t>
      </w:r>
      <w:r w:rsidR="005A3EF9" w:rsidRPr="00DB646E">
        <w:rPr>
          <w:i/>
        </w:rPr>
        <w:t>.</w:t>
      </w:r>
      <w:r w:rsidR="00275076" w:rsidRPr="00DB646E">
        <w:rPr>
          <w:i/>
        </w:rPr>
        <w:t xml:space="preserve"> </w:t>
      </w:r>
    </w:p>
    <w:p w14:paraId="07A1AF20" w14:textId="731AA5BB" w:rsidR="005A3EF9" w:rsidRPr="00BD17F9" w:rsidRDefault="005A3EF9" w:rsidP="00BD17F9">
      <w:pPr>
        <w:pStyle w:val="Heading2"/>
        <w:rPr>
          <w:b w:val="0"/>
        </w:rPr>
      </w:pPr>
      <w:r w:rsidRPr="00BD17F9">
        <w:t>3. Monetary thresholds</w:t>
      </w:r>
      <w:r w:rsidRPr="00BD17F9">
        <w:tab/>
      </w:r>
    </w:p>
    <w:p w14:paraId="3412984B" w14:textId="48CC53A1" w:rsidR="002A749B" w:rsidRDefault="005A3EF9" w:rsidP="00BD17F9">
      <w:r w:rsidRPr="00BD17F9">
        <w:t xml:space="preserve">Monetary screening thresholds are met when either the amount paid for an interest or the value of an </w:t>
      </w:r>
      <w:r w:rsidR="009D0994" w:rsidRPr="00BD17F9">
        <w:t>entity</w:t>
      </w:r>
      <w:r w:rsidR="009D0994" w:rsidRPr="00BD17F9">
        <w:rPr>
          <w:rFonts w:ascii="Arial" w:eastAsiaTheme="majorEastAsia" w:hAnsi="Arial" w:cstheme="majorBidi"/>
          <w:iCs/>
          <w:spacing w:val="0"/>
        </w:rPr>
        <w:t xml:space="preserve"> or asset exceeds the threshold </w:t>
      </w:r>
      <w:r w:rsidR="008B5FA3" w:rsidRPr="00BD17F9">
        <w:rPr>
          <w:rFonts w:ascii="Arial" w:eastAsiaTheme="majorEastAsia" w:hAnsi="Arial" w:cstheme="majorBidi"/>
          <w:iCs/>
          <w:spacing w:val="0"/>
        </w:rPr>
        <w:t xml:space="preserve">amount </w:t>
      </w:r>
      <w:r w:rsidR="008B5FA3" w:rsidRPr="00BD17F9">
        <w:t>depending</w:t>
      </w:r>
      <w:r w:rsidR="009D0994" w:rsidRPr="00BD17F9">
        <w:rPr>
          <w:rFonts w:ascii="Arial" w:eastAsiaTheme="majorEastAsia" w:hAnsi="Arial" w:cstheme="majorBidi"/>
          <w:iCs/>
          <w:spacing w:val="0"/>
        </w:rPr>
        <w:t xml:space="preserve"> on the type of action. The </w:t>
      </w:r>
      <w:r w:rsidRPr="00BD17F9">
        <w:rPr>
          <w:rFonts w:ascii="Arial" w:eastAsiaTheme="majorEastAsia" w:hAnsi="Arial" w:cstheme="majorBidi"/>
          <w:iCs/>
          <w:spacing w:val="0"/>
        </w:rPr>
        <w:t>exception is for</w:t>
      </w:r>
      <w:r w:rsidRPr="00BD17F9">
        <w:t xml:space="preserve"> </w:t>
      </w:r>
      <w:r w:rsidR="009D0994" w:rsidRPr="00BD17F9">
        <w:rPr>
          <w:rFonts w:ascii="Arial" w:eastAsiaTheme="majorEastAsia" w:hAnsi="Arial" w:cstheme="majorBidi"/>
          <w:iCs/>
          <w:spacing w:val="0"/>
        </w:rPr>
        <w:t xml:space="preserve">agricultural </w:t>
      </w:r>
      <w:r w:rsidR="009D0994" w:rsidRPr="00BD17F9">
        <w:rPr>
          <w:rFonts w:ascii="Arial" w:eastAsiaTheme="majorEastAsia" w:hAnsi="Arial" w:cstheme="majorBidi"/>
          <w:iCs/>
          <w:spacing w:val="0"/>
        </w:rPr>
        <w:t xml:space="preserve">land, where the test is cumulative (except in relation to certain free trade agreement partners’ </w:t>
      </w:r>
      <w:r w:rsidR="004D2906">
        <w:rPr>
          <w:rFonts w:ascii="Arial" w:eastAsiaTheme="majorEastAsia" w:hAnsi="Arial" w:cstheme="majorBidi"/>
          <w:iCs/>
          <w:spacing w:val="0"/>
        </w:rPr>
        <w:t>i</w:t>
      </w:r>
      <w:r w:rsidR="009D0994" w:rsidRPr="00BD17F9">
        <w:rPr>
          <w:rFonts w:ascii="Arial" w:eastAsiaTheme="majorEastAsia" w:hAnsi="Arial" w:cstheme="majorBidi"/>
          <w:iCs/>
          <w:spacing w:val="0"/>
        </w:rPr>
        <w:t>nvestors</w:t>
      </w:r>
      <w:r w:rsidR="004D2906">
        <w:rPr>
          <w:rFonts w:ascii="Arial" w:eastAsiaTheme="majorEastAsia" w:hAnsi="Arial" w:cstheme="majorBidi"/>
          <w:iCs/>
          <w:spacing w:val="0"/>
        </w:rPr>
        <w:t>)</w:t>
      </w:r>
      <w:r w:rsidR="009D0994" w:rsidRPr="00BD17F9">
        <w:rPr>
          <w:rFonts w:ascii="Arial" w:eastAsiaTheme="majorEastAsia" w:hAnsi="Arial" w:cstheme="majorBidi"/>
          <w:spacing w:val="0"/>
        </w:rPr>
        <w:t>.</w:t>
      </w:r>
      <w:r w:rsidR="00BB5843" w:rsidRPr="00BB5843">
        <w:t xml:space="preserve"> </w:t>
      </w:r>
    </w:p>
    <w:p w14:paraId="603C30AC" w14:textId="570B6260" w:rsidR="009D0994" w:rsidRDefault="00994AD2" w:rsidP="00BD17F9">
      <w:r>
        <w:t>The monetary screening thresholds for proposed investments</w:t>
      </w:r>
      <w:r w:rsidR="00E30CC4">
        <w:t xml:space="preserve"> by foreign government investors, or investments</w:t>
      </w:r>
      <w:r>
        <w:t xml:space="preserve"> in national security business or national security land is $0</w:t>
      </w:r>
      <w:r w:rsidR="002A749B" w:rsidRPr="002A749B">
        <w:t xml:space="preserve">. </w:t>
      </w:r>
    </w:p>
    <w:p w14:paraId="6395B98C" w14:textId="5A27F35A" w:rsidR="005964E6" w:rsidRPr="00BD17F9" w:rsidRDefault="005964E6" w:rsidP="00BD17F9">
      <w:r>
        <w:t xml:space="preserve">Monetary thresholds are listed </w:t>
      </w:r>
      <w:hyperlink r:id="rId17" w:history="1">
        <w:r w:rsidRPr="005964E6">
          <w:rPr>
            <w:rStyle w:val="Hyperlink"/>
          </w:rPr>
          <w:t>here</w:t>
        </w:r>
      </w:hyperlink>
      <w:r>
        <w:t>.</w:t>
      </w:r>
    </w:p>
    <w:p w14:paraId="5A6C6DAB" w14:textId="01000C52" w:rsidR="00B82084" w:rsidRPr="00E837DD" w:rsidRDefault="009D0994" w:rsidP="00E54498">
      <w:pPr>
        <w:pStyle w:val="Heading2"/>
      </w:pPr>
      <w:r>
        <w:t xml:space="preserve">4. </w:t>
      </w:r>
      <w:r w:rsidR="009C0043" w:rsidRPr="00E837DD">
        <w:t xml:space="preserve">How do I </w:t>
      </w:r>
      <w:r w:rsidR="007F2B9C" w:rsidRPr="00E837DD">
        <w:t>get</w:t>
      </w:r>
      <w:r w:rsidR="00B82084" w:rsidRPr="00E837DD">
        <w:t xml:space="preserve"> Commonwealth approval?</w:t>
      </w:r>
    </w:p>
    <w:p w14:paraId="0CB8113D" w14:textId="55598014" w:rsidR="009C0043" w:rsidRDefault="00C63660" w:rsidP="00BD17F9">
      <w:pPr>
        <w:rPr>
          <w:i/>
        </w:rPr>
      </w:pPr>
      <w:r>
        <w:t>A</w:t>
      </w:r>
      <w:r w:rsidR="009C0043">
        <w:t xml:space="preserve">pplications </w:t>
      </w:r>
      <w:r>
        <w:t xml:space="preserve">can be made </w:t>
      </w:r>
      <w:hyperlink r:id="rId18" w:history="1">
        <w:r w:rsidR="009C0043" w:rsidRPr="009C0043">
          <w:rPr>
            <w:rStyle w:val="Hyperlink"/>
          </w:rPr>
          <w:t>online</w:t>
        </w:r>
      </w:hyperlink>
      <w:r w:rsidR="009C0043">
        <w:t>.</w:t>
      </w:r>
      <w:r w:rsidR="00004830" w:rsidRPr="00004830">
        <w:t xml:space="preserve"> </w:t>
      </w:r>
      <w:r w:rsidR="00004830">
        <w:t>Fees must be paid before applications are considered.</w:t>
      </w:r>
    </w:p>
    <w:p w14:paraId="43918A8A" w14:textId="08F0D8DB" w:rsidR="00B82084" w:rsidRPr="00E837DD" w:rsidRDefault="009D0994" w:rsidP="00E837DD">
      <w:pPr>
        <w:pStyle w:val="Heading2"/>
      </w:pPr>
      <w:r>
        <w:t>5</w:t>
      </w:r>
      <w:r w:rsidR="00B82084" w:rsidRPr="00E837DD">
        <w:t>.</w:t>
      </w:r>
      <w:r w:rsidR="00B82084" w:rsidRPr="00E837DD">
        <w:tab/>
      </w:r>
      <w:r w:rsidR="00BE7991" w:rsidRPr="00E837DD">
        <w:t>More information</w:t>
      </w:r>
    </w:p>
    <w:p w14:paraId="417C95BE" w14:textId="77777777" w:rsidR="00825257" w:rsidRPr="00004830" w:rsidRDefault="00825257" w:rsidP="000C6921">
      <w:pPr>
        <w:pStyle w:val="Heading3"/>
        <w:spacing w:before="120"/>
        <w:rPr>
          <w:i/>
        </w:rPr>
      </w:pPr>
      <w:r w:rsidRPr="00004830">
        <w:t>Commonwealth</w:t>
      </w:r>
    </w:p>
    <w:p w14:paraId="26945112" w14:textId="6586A7A7" w:rsidR="00994AD2" w:rsidRDefault="00994AD2" w:rsidP="00BD17F9">
      <w:r>
        <w:t xml:space="preserve">The foreign investment review framework is set by the </w:t>
      </w:r>
      <w:r w:rsidRPr="00DB646E">
        <w:rPr>
          <w:i/>
        </w:rPr>
        <w:t xml:space="preserve">Foreign Acquisitions and Takeovers Act 1975 </w:t>
      </w:r>
      <w:r w:rsidRPr="007E6320">
        <w:t>(the Act)</w:t>
      </w:r>
      <w:r>
        <w:rPr>
          <w:i/>
        </w:rPr>
        <w:t xml:space="preserve">, </w:t>
      </w:r>
      <w:r w:rsidRPr="00DB646E">
        <w:rPr>
          <w:i/>
        </w:rPr>
        <w:t>Foreign Acquisitions and Takeovers Fees Imposition Act 2015</w:t>
      </w:r>
      <w:r w:rsidRPr="001A5981">
        <w:rPr>
          <w:iCs/>
        </w:rPr>
        <w:t>, and their associated regulations</w:t>
      </w:r>
      <w:r>
        <w:rPr>
          <w:iCs/>
        </w:rPr>
        <w:t>.</w:t>
      </w:r>
      <w:r>
        <w:t xml:space="preserve"> </w:t>
      </w:r>
    </w:p>
    <w:p w14:paraId="63896A0C" w14:textId="63A0B032" w:rsidR="00825257" w:rsidRDefault="00825257" w:rsidP="00BD17F9">
      <w:pPr>
        <w:rPr>
          <w:i/>
        </w:rPr>
      </w:pPr>
      <w:r>
        <w:t>For more information</w:t>
      </w:r>
      <w:r w:rsidRPr="00896B7C">
        <w:t xml:space="preserve">, </w:t>
      </w:r>
      <w:r>
        <w:t xml:space="preserve">visit the Foreign Investment Review Board </w:t>
      </w:r>
      <w:hyperlink r:id="rId19" w:history="1">
        <w:r w:rsidRPr="0090742C">
          <w:rPr>
            <w:rStyle w:val="Hyperlink"/>
          </w:rPr>
          <w:t>website</w:t>
        </w:r>
      </w:hyperlink>
      <w:r>
        <w:t xml:space="preserve">. </w:t>
      </w:r>
    </w:p>
    <w:p w14:paraId="29B627E6" w14:textId="77777777" w:rsidR="00825257" w:rsidRPr="00BF3D9C" w:rsidRDefault="00825257" w:rsidP="000C6921">
      <w:pPr>
        <w:pStyle w:val="Heading3"/>
        <w:spacing w:before="120"/>
      </w:pPr>
      <w:r w:rsidRPr="00BF3D9C">
        <w:t>Major Projects Facilitation Agency</w:t>
      </w:r>
    </w:p>
    <w:p w14:paraId="4C257EB7" w14:textId="025157A6" w:rsidR="00825257" w:rsidRDefault="00825257" w:rsidP="00E950FA">
      <w:pPr>
        <w:spacing w:after="0"/>
      </w:pPr>
      <w:r>
        <w:t xml:space="preserve">If you would like assistance to identify the regulatory obligations for your project, please visit our </w:t>
      </w:r>
      <w:hyperlink r:id="rId20" w:history="1">
        <w:r w:rsidRPr="00D57FC2">
          <w:rPr>
            <w:rStyle w:val="Hyperlink"/>
            <w:rFonts w:cstheme="minorHAnsi"/>
          </w:rPr>
          <w:t>Online Tool</w:t>
        </w:r>
      </w:hyperlink>
      <w:r>
        <w:t xml:space="preserve"> or contact us:</w:t>
      </w:r>
    </w:p>
    <w:p w14:paraId="6EFB9BC8" w14:textId="21A53083" w:rsidR="00825257" w:rsidRPr="00A74053" w:rsidRDefault="00825257" w:rsidP="00E950FA">
      <w:pPr>
        <w:spacing w:after="0"/>
        <w:rPr>
          <w:b/>
          <w:bCs/>
          <w:i/>
          <w:iCs/>
          <w:color w:val="005677" w:themeColor="hyperlink"/>
          <w:u w:val="single"/>
        </w:rPr>
      </w:pPr>
      <w:r>
        <w:t>Email:</w:t>
      </w:r>
      <w:r>
        <w:tab/>
      </w:r>
      <w:r>
        <w:tab/>
      </w:r>
      <w:r w:rsidR="00775D0C" w:rsidRPr="00775D0C">
        <w:rPr>
          <w:rStyle w:val="Hyperlink"/>
        </w:rPr>
        <w:t>mpfa@industry.gov.au</w:t>
      </w:r>
    </w:p>
    <w:sectPr w:rsidR="00825257" w:rsidRPr="00A74053" w:rsidSect="00005F6A">
      <w:type w:val="continuous"/>
      <w:pgSz w:w="11906" w:h="16838"/>
      <w:pgMar w:top="1276" w:right="851" w:bottom="1560" w:left="851" w:header="567" w:footer="708" w:gutter="0"/>
      <w:cols w:num="2"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60CA" w16cex:dateUtc="2021-04-23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762E0D" w16cid:durableId="242D60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E471" w14:textId="77777777" w:rsidR="00E23659" w:rsidRDefault="00E23659" w:rsidP="00B526AB">
      <w:pPr>
        <w:spacing w:after="0"/>
      </w:pPr>
      <w:r>
        <w:separator/>
      </w:r>
    </w:p>
  </w:endnote>
  <w:endnote w:type="continuationSeparator" w:id="0">
    <w:p w14:paraId="7763DD43" w14:textId="77777777" w:rsidR="00E23659" w:rsidRDefault="00E23659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39A6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0D58F7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B24A" w14:textId="64693AA0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1A5981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00DDC61E" w14:textId="77777777" w:rsidR="00DB646E" w:rsidRPr="00E46859" w:rsidRDefault="00DB646E" w:rsidP="00DB646E">
    <w:pPr>
      <w:pStyle w:val="Footer"/>
      <w:ind w:left="284"/>
      <w:rPr>
        <w:rFonts w:ascii="TheSansOffice" w:eastAsia="Times New Roman" w:hAnsi="TheSansOffice" w:cs="Arial"/>
        <w:i/>
        <w:szCs w:val="16"/>
        <w:lang w:eastAsia="en-AU"/>
      </w:rPr>
    </w:pPr>
    <w:r w:rsidRPr="00E46859">
      <w:rPr>
        <w:rFonts w:ascii="Arial" w:eastAsia="Times New Roman" w:hAnsi="Arial" w:cs="Arial"/>
        <w:szCs w:val="16"/>
        <w:lang w:eastAsia="en-AU"/>
      </w:rPr>
      <w:t>This fact sheet provides general information and does not constitute legal advice. You should seek independent legal advice tailored to your individual circumstances.</w:t>
    </w:r>
    <w:r w:rsidRPr="00E46859">
      <w:rPr>
        <w:rFonts w:ascii="Arial" w:eastAsia="Times New Roman" w:hAnsi="Arial" w:cs="Arial"/>
        <w:bCs/>
        <w:iCs/>
        <w:szCs w:val="16"/>
        <w:lang w:eastAsia="en-AU"/>
      </w:rPr>
      <w:t xml:space="preserve"> </w:t>
    </w:r>
    <w:r w:rsidRPr="00E46859">
      <w:rPr>
        <w:rFonts w:ascii="Arial" w:eastAsia="Times New Roman" w:hAnsi="Arial" w:cs="Arial"/>
        <w:szCs w:val="16"/>
        <w:lang w:eastAsia="en-AU"/>
      </w:rPr>
      <w:t>The Major Project</w:t>
    </w:r>
    <w:r>
      <w:rPr>
        <w:rFonts w:ascii="Arial" w:eastAsia="Times New Roman" w:hAnsi="Arial" w:cs="Arial"/>
        <w:szCs w:val="16"/>
        <w:lang w:eastAsia="en-AU"/>
      </w:rPr>
      <w:t>s</w:t>
    </w:r>
    <w:r w:rsidRPr="00E46859">
      <w:rPr>
        <w:rFonts w:ascii="Arial" w:eastAsia="Times New Roman" w:hAnsi="Arial" w:cs="Arial"/>
        <w:szCs w:val="16"/>
        <w:lang w:eastAsia="en-AU"/>
      </w:rPr>
      <w:t xml:space="preserve"> </w:t>
    </w:r>
    <w:r>
      <w:rPr>
        <w:rFonts w:ascii="Arial" w:eastAsia="Times New Roman" w:hAnsi="Arial" w:cs="Arial"/>
        <w:szCs w:val="16"/>
        <w:lang w:eastAsia="en-AU"/>
      </w:rPr>
      <w:t>Facilitation Agency (MPF</w:t>
    </w:r>
    <w:r w:rsidRPr="00E46859">
      <w:rPr>
        <w:rFonts w:ascii="Arial" w:eastAsia="Times New Roman" w:hAnsi="Arial" w:cs="Arial"/>
        <w:szCs w:val="16"/>
        <w:lang w:eastAsia="en-AU"/>
      </w:rPr>
      <w:t>A) assists Major Project Proponents to</w:t>
    </w:r>
    <w:r>
      <w:rPr>
        <w:rFonts w:ascii="Arial" w:eastAsia="Times New Roman" w:hAnsi="Arial" w:cs="Arial"/>
        <w:szCs w:val="16"/>
        <w:lang w:eastAsia="en-AU"/>
      </w:rPr>
      <w:t xml:space="preserve"> navigate the approvals process.</w:t>
    </w:r>
    <w:r w:rsidRPr="00E46859">
      <w:rPr>
        <w:rFonts w:ascii="Arial" w:eastAsia="Times New Roman" w:hAnsi="Arial" w:cs="Arial"/>
        <w:szCs w:val="16"/>
        <w:lang w:eastAsia="en-AU"/>
      </w:rPr>
      <w:t xml:space="preserve"> </w:t>
    </w:r>
    <w:r>
      <w:rPr>
        <w:rFonts w:ascii="Arial" w:eastAsia="Times New Roman" w:hAnsi="Arial" w:cs="Arial"/>
        <w:szCs w:val="16"/>
        <w:lang w:eastAsia="en-AU"/>
      </w:rPr>
      <w:t>The MPF</w:t>
    </w:r>
    <w:r w:rsidRPr="00E46859">
      <w:rPr>
        <w:rFonts w:ascii="Arial" w:eastAsia="Times New Roman" w:hAnsi="Arial" w:cs="Arial"/>
        <w:szCs w:val="16"/>
        <w:lang w:eastAsia="en-AU"/>
      </w:rPr>
      <w:t xml:space="preserve">A does not grant approvals, nor administer this Act or Regulations. </w:t>
    </w:r>
  </w:p>
  <w:p w14:paraId="57061DFA" w14:textId="77777777" w:rsidR="00DB646E" w:rsidRDefault="00775D0C" w:rsidP="00DB646E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DB646E" w:rsidRPr="005D5C16">
        <w:rPr>
          <w:rStyle w:val="Hyperlink"/>
        </w:rPr>
        <w:t>www.business.gov.au/mpfa</w:t>
      </w:r>
    </w:hyperlink>
    <w:r w:rsidR="00DB646E">
      <w:t xml:space="preserve"> </w:t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hyperlink r:id="rId2" w:history="1">
      <w:r w:rsidR="00DB646E" w:rsidRPr="00186690">
        <w:rPr>
          <w:rStyle w:val="Hyperlink"/>
        </w:rPr>
        <w:t>contact@mpaa.gov.au</w:t>
      </w:r>
    </w:hyperlink>
    <w:r w:rsidR="00DB646E">
      <w:t xml:space="preserve"> </w:t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</w:r>
    <w:r w:rsidR="00DB646E">
      <w:tab/>
      <w:t>April 2020</w:t>
    </w:r>
  </w:p>
  <w:p w14:paraId="162AE9AF" w14:textId="7CACFB06" w:rsidR="006709E4" w:rsidRDefault="006709E4" w:rsidP="00DB646E">
    <w:pPr>
      <w:pStyle w:val="Footer"/>
      <w:ind w:left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2E89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7DDE2518" w14:textId="77777777" w:rsidR="00CD3BE6" w:rsidRPr="00E46859" w:rsidRDefault="00CD3BE6" w:rsidP="00CD3BE6">
    <w:pPr>
      <w:pStyle w:val="Footer"/>
      <w:ind w:left="284"/>
      <w:rPr>
        <w:rFonts w:ascii="TheSansOffice" w:eastAsia="Times New Roman" w:hAnsi="TheSansOffice" w:cs="Arial"/>
        <w:i/>
        <w:szCs w:val="16"/>
        <w:lang w:eastAsia="en-AU"/>
      </w:rPr>
    </w:pPr>
    <w:r w:rsidRPr="00E46859">
      <w:rPr>
        <w:rFonts w:ascii="Arial" w:eastAsia="Times New Roman" w:hAnsi="Arial" w:cs="Arial"/>
        <w:szCs w:val="16"/>
        <w:lang w:eastAsia="en-AU"/>
      </w:rPr>
      <w:t>This fact sheet provides general information and does not constitute legal advice. You should seek independent legal advice tailored to your individual circumstances.</w:t>
    </w:r>
    <w:r w:rsidRPr="00E46859">
      <w:rPr>
        <w:rFonts w:ascii="Arial" w:eastAsia="Times New Roman" w:hAnsi="Arial" w:cs="Arial"/>
        <w:bCs/>
        <w:iCs/>
        <w:szCs w:val="16"/>
        <w:lang w:eastAsia="en-AU"/>
      </w:rPr>
      <w:t xml:space="preserve"> </w:t>
    </w:r>
    <w:r w:rsidRPr="00E46859">
      <w:rPr>
        <w:rFonts w:ascii="Arial" w:eastAsia="Times New Roman" w:hAnsi="Arial" w:cs="Arial"/>
        <w:szCs w:val="16"/>
        <w:lang w:eastAsia="en-AU"/>
      </w:rPr>
      <w:t>The Major Project</w:t>
    </w:r>
    <w:r w:rsidR="001A7F93">
      <w:rPr>
        <w:rFonts w:ascii="Arial" w:eastAsia="Times New Roman" w:hAnsi="Arial" w:cs="Arial"/>
        <w:szCs w:val="16"/>
        <w:lang w:eastAsia="en-AU"/>
      </w:rPr>
      <w:t>s</w:t>
    </w:r>
    <w:r w:rsidRPr="00E46859">
      <w:rPr>
        <w:rFonts w:ascii="Arial" w:eastAsia="Times New Roman" w:hAnsi="Arial" w:cs="Arial"/>
        <w:szCs w:val="16"/>
        <w:lang w:eastAsia="en-AU"/>
      </w:rPr>
      <w:t xml:space="preserve"> </w:t>
    </w:r>
    <w:r w:rsidR="00B81C7A">
      <w:rPr>
        <w:rFonts w:ascii="Arial" w:eastAsia="Times New Roman" w:hAnsi="Arial" w:cs="Arial"/>
        <w:szCs w:val="16"/>
        <w:lang w:eastAsia="en-AU"/>
      </w:rPr>
      <w:t>Facilitation Agency (MPF</w:t>
    </w:r>
    <w:r w:rsidRPr="00E46859">
      <w:rPr>
        <w:rFonts w:ascii="Arial" w:eastAsia="Times New Roman" w:hAnsi="Arial" w:cs="Arial"/>
        <w:szCs w:val="16"/>
        <w:lang w:eastAsia="en-AU"/>
      </w:rPr>
      <w:t>A) assists Major Project Proponents to</w:t>
    </w:r>
    <w:r w:rsidR="001A7F93">
      <w:rPr>
        <w:rFonts w:ascii="Arial" w:eastAsia="Times New Roman" w:hAnsi="Arial" w:cs="Arial"/>
        <w:szCs w:val="16"/>
        <w:lang w:eastAsia="en-AU"/>
      </w:rPr>
      <w:t xml:space="preserve"> navigate the approvals process.</w:t>
    </w:r>
    <w:r w:rsidRPr="00E46859">
      <w:rPr>
        <w:rFonts w:ascii="Arial" w:eastAsia="Times New Roman" w:hAnsi="Arial" w:cs="Arial"/>
        <w:szCs w:val="16"/>
        <w:lang w:eastAsia="en-AU"/>
      </w:rPr>
      <w:t xml:space="preserve"> </w:t>
    </w:r>
    <w:r w:rsidR="001A7F93">
      <w:rPr>
        <w:rFonts w:ascii="Arial" w:eastAsia="Times New Roman" w:hAnsi="Arial" w:cs="Arial"/>
        <w:szCs w:val="16"/>
        <w:lang w:eastAsia="en-AU"/>
      </w:rPr>
      <w:t>The</w:t>
    </w:r>
    <w:r w:rsidR="00B81C7A">
      <w:rPr>
        <w:rFonts w:ascii="Arial" w:eastAsia="Times New Roman" w:hAnsi="Arial" w:cs="Arial"/>
        <w:szCs w:val="16"/>
        <w:lang w:eastAsia="en-AU"/>
      </w:rPr>
      <w:t xml:space="preserve"> MPF</w:t>
    </w:r>
    <w:r w:rsidRPr="00E46859">
      <w:rPr>
        <w:rFonts w:ascii="Arial" w:eastAsia="Times New Roman" w:hAnsi="Arial" w:cs="Arial"/>
        <w:szCs w:val="16"/>
        <w:lang w:eastAsia="en-AU"/>
      </w:rPr>
      <w:t xml:space="preserve">A does not grant approvals, nor administer this Act or Regulations. </w:t>
    </w:r>
  </w:p>
  <w:p w14:paraId="4E41F611" w14:textId="1A07B103" w:rsidR="006709E4" w:rsidRDefault="00775D0C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EC2591" w:rsidRPr="005D5C16">
        <w:rPr>
          <w:rStyle w:val="Hyperlink"/>
        </w:rPr>
        <w:t>www.business.gov.au/mpfa</w:t>
      </w:r>
    </w:hyperlink>
    <w:r w:rsidR="00EC2591">
      <w:t xml:space="preserve"> </w:t>
    </w:r>
    <w:r w:rsidR="00EC2591">
      <w:tab/>
    </w:r>
    <w:r w:rsidR="00EC2591">
      <w:tab/>
    </w:r>
    <w:r w:rsidR="00EC2591">
      <w:tab/>
    </w:r>
    <w:r w:rsidR="00EC2591">
      <w:tab/>
    </w:r>
    <w:r w:rsidR="00EC2591">
      <w:tab/>
    </w:r>
    <w:r w:rsidR="00EC2591">
      <w:tab/>
    </w:r>
    <w:r w:rsidR="00EC2591">
      <w:tab/>
    </w:r>
    <w:r w:rsidR="00EC2591">
      <w:tab/>
    </w:r>
    <w:r w:rsidR="00EC2591">
      <w:tab/>
    </w:r>
    <w:r w:rsidRPr="00775D0C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1A5981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480B" w14:textId="77777777" w:rsidR="00E23659" w:rsidRDefault="00E23659" w:rsidP="00B526AB">
      <w:pPr>
        <w:spacing w:after="0"/>
      </w:pPr>
      <w:r>
        <w:separator/>
      </w:r>
    </w:p>
  </w:footnote>
  <w:footnote w:type="continuationSeparator" w:id="0">
    <w:p w14:paraId="647741AF" w14:textId="77777777" w:rsidR="00E23659" w:rsidRDefault="00E23659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C524" w14:textId="77777777" w:rsidR="006709E4" w:rsidRDefault="00B81C7A">
    <w:pPr>
      <w:pStyle w:val="Header"/>
    </w:pPr>
    <w:r w:rsidRPr="00B81C7A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44689C7C" wp14:editId="54B9F325">
          <wp:extent cx="6443345" cy="3242945"/>
          <wp:effectExtent l="0" t="0" r="0" b="0"/>
          <wp:docPr id="2" name="Picture 2" descr="Major Projects Facilitation Agency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49E24D4"/>
    <w:multiLevelType w:val="hybridMultilevel"/>
    <w:tmpl w:val="F44CA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74E3A"/>
    <w:multiLevelType w:val="hybridMultilevel"/>
    <w:tmpl w:val="B77EF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2BB7"/>
    <w:multiLevelType w:val="multilevel"/>
    <w:tmpl w:val="7804C2C8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E557F5"/>
    <w:multiLevelType w:val="multilevel"/>
    <w:tmpl w:val="AEA68C9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4D23BA"/>
    <w:multiLevelType w:val="hybridMultilevel"/>
    <w:tmpl w:val="CB2609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A5F48"/>
    <w:multiLevelType w:val="hybridMultilevel"/>
    <w:tmpl w:val="2A36BE7E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527B7F50"/>
    <w:multiLevelType w:val="hybridMultilevel"/>
    <w:tmpl w:val="DBD07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9542C"/>
    <w:multiLevelType w:val="hybridMultilevel"/>
    <w:tmpl w:val="B2B44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908A4"/>
    <w:multiLevelType w:val="hybridMultilevel"/>
    <w:tmpl w:val="61FEC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065E"/>
    <w:rsid w:val="0000299C"/>
    <w:rsid w:val="00004830"/>
    <w:rsid w:val="00005F6A"/>
    <w:rsid w:val="0002105D"/>
    <w:rsid w:val="0003411F"/>
    <w:rsid w:val="00052617"/>
    <w:rsid w:val="000C6921"/>
    <w:rsid w:val="000D248C"/>
    <w:rsid w:val="000D703D"/>
    <w:rsid w:val="000E7EEF"/>
    <w:rsid w:val="000F541A"/>
    <w:rsid w:val="00121228"/>
    <w:rsid w:val="001374FA"/>
    <w:rsid w:val="001469EA"/>
    <w:rsid w:val="001638D0"/>
    <w:rsid w:val="00163B54"/>
    <w:rsid w:val="00165644"/>
    <w:rsid w:val="00177EF8"/>
    <w:rsid w:val="00186690"/>
    <w:rsid w:val="001A25AE"/>
    <w:rsid w:val="001A2DC6"/>
    <w:rsid w:val="001A5981"/>
    <w:rsid w:val="001A7F93"/>
    <w:rsid w:val="001B074D"/>
    <w:rsid w:val="00206601"/>
    <w:rsid w:val="00212DAC"/>
    <w:rsid w:val="002300AC"/>
    <w:rsid w:val="002300EF"/>
    <w:rsid w:val="00237A8F"/>
    <w:rsid w:val="00244596"/>
    <w:rsid w:val="00246669"/>
    <w:rsid w:val="00263E00"/>
    <w:rsid w:val="0027105F"/>
    <w:rsid w:val="00275076"/>
    <w:rsid w:val="002869E1"/>
    <w:rsid w:val="002A035E"/>
    <w:rsid w:val="002A749B"/>
    <w:rsid w:val="002B57BF"/>
    <w:rsid w:val="002D2900"/>
    <w:rsid w:val="002D3500"/>
    <w:rsid w:val="002D3954"/>
    <w:rsid w:val="002E14EA"/>
    <w:rsid w:val="002E201E"/>
    <w:rsid w:val="002F65AF"/>
    <w:rsid w:val="00304F04"/>
    <w:rsid w:val="00315939"/>
    <w:rsid w:val="0038442D"/>
    <w:rsid w:val="003B2900"/>
    <w:rsid w:val="003D7266"/>
    <w:rsid w:val="003F2E74"/>
    <w:rsid w:val="003F3CF8"/>
    <w:rsid w:val="00402E42"/>
    <w:rsid w:val="00404F59"/>
    <w:rsid w:val="00407ECA"/>
    <w:rsid w:val="004111E9"/>
    <w:rsid w:val="00436B60"/>
    <w:rsid w:val="004427D3"/>
    <w:rsid w:val="00452BA6"/>
    <w:rsid w:val="00476537"/>
    <w:rsid w:val="00495260"/>
    <w:rsid w:val="004C0640"/>
    <w:rsid w:val="004D2906"/>
    <w:rsid w:val="00507C2D"/>
    <w:rsid w:val="00517900"/>
    <w:rsid w:val="00523023"/>
    <w:rsid w:val="00530BAF"/>
    <w:rsid w:val="005526EA"/>
    <w:rsid w:val="0056121B"/>
    <w:rsid w:val="005642F2"/>
    <w:rsid w:val="0057207B"/>
    <w:rsid w:val="0057686C"/>
    <w:rsid w:val="00585806"/>
    <w:rsid w:val="005964E6"/>
    <w:rsid w:val="005A3EF9"/>
    <w:rsid w:val="005B1655"/>
    <w:rsid w:val="005C22B1"/>
    <w:rsid w:val="005D0228"/>
    <w:rsid w:val="005F1934"/>
    <w:rsid w:val="00602C92"/>
    <w:rsid w:val="0061026F"/>
    <w:rsid w:val="00612A48"/>
    <w:rsid w:val="00645B5F"/>
    <w:rsid w:val="00656391"/>
    <w:rsid w:val="006569D6"/>
    <w:rsid w:val="006709E4"/>
    <w:rsid w:val="00691F9C"/>
    <w:rsid w:val="006B0076"/>
    <w:rsid w:val="006C2852"/>
    <w:rsid w:val="006C2EB8"/>
    <w:rsid w:val="006C2F68"/>
    <w:rsid w:val="006C72F9"/>
    <w:rsid w:val="006C7F6D"/>
    <w:rsid w:val="006D4B5A"/>
    <w:rsid w:val="006E1767"/>
    <w:rsid w:val="00723B30"/>
    <w:rsid w:val="007258DF"/>
    <w:rsid w:val="0072599E"/>
    <w:rsid w:val="00735BA3"/>
    <w:rsid w:val="00775D0C"/>
    <w:rsid w:val="007B2AA7"/>
    <w:rsid w:val="007C04FA"/>
    <w:rsid w:val="007C588B"/>
    <w:rsid w:val="007D44FD"/>
    <w:rsid w:val="007D7AC4"/>
    <w:rsid w:val="007E6320"/>
    <w:rsid w:val="007F243A"/>
    <w:rsid w:val="007F2B9C"/>
    <w:rsid w:val="007F61F8"/>
    <w:rsid w:val="0082186E"/>
    <w:rsid w:val="00822027"/>
    <w:rsid w:val="00822068"/>
    <w:rsid w:val="00825257"/>
    <w:rsid w:val="00825EC9"/>
    <w:rsid w:val="00850038"/>
    <w:rsid w:val="00880E62"/>
    <w:rsid w:val="0088639D"/>
    <w:rsid w:val="008A2A77"/>
    <w:rsid w:val="008B5FA3"/>
    <w:rsid w:val="008C7A8F"/>
    <w:rsid w:val="009062C9"/>
    <w:rsid w:val="0090742C"/>
    <w:rsid w:val="0091715C"/>
    <w:rsid w:val="00922F1E"/>
    <w:rsid w:val="0092552F"/>
    <w:rsid w:val="009367C2"/>
    <w:rsid w:val="00943B1E"/>
    <w:rsid w:val="00956813"/>
    <w:rsid w:val="00960D9F"/>
    <w:rsid w:val="0097070B"/>
    <w:rsid w:val="00975677"/>
    <w:rsid w:val="00975726"/>
    <w:rsid w:val="00977B05"/>
    <w:rsid w:val="009843CA"/>
    <w:rsid w:val="00985C42"/>
    <w:rsid w:val="00991FDD"/>
    <w:rsid w:val="00994AD2"/>
    <w:rsid w:val="009A0BDC"/>
    <w:rsid w:val="009A0EF0"/>
    <w:rsid w:val="009A4C2D"/>
    <w:rsid w:val="009B3766"/>
    <w:rsid w:val="009C0043"/>
    <w:rsid w:val="009C6F96"/>
    <w:rsid w:val="009D0994"/>
    <w:rsid w:val="009D7BB6"/>
    <w:rsid w:val="009E60D8"/>
    <w:rsid w:val="009F659D"/>
    <w:rsid w:val="00A33013"/>
    <w:rsid w:val="00A51E16"/>
    <w:rsid w:val="00A64CC2"/>
    <w:rsid w:val="00A81A3A"/>
    <w:rsid w:val="00A85BA1"/>
    <w:rsid w:val="00A86DD1"/>
    <w:rsid w:val="00AE10BB"/>
    <w:rsid w:val="00AE5300"/>
    <w:rsid w:val="00AF73F9"/>
    <w:rsid w:val="00B209D2"/>
    <w:rsid w:val="00B526AB"/>
    <w:rsid w:val="00B53614"/>
    <w:rsid w:val="00B81C7A"/>
    <w:rsid w:val="00B82084"/>
    <w:rsid w:val="00B9408D"/>
    <w:rsid w:val="00BB5843"/>
    <w:rsid w:val="00BC6CFA"/>
    <w:rsid w:val="00BD17F9"/>
    <w:rsid w:val="00BE3715"/>
    <w:rsid w:val="00BE7991"/>
    <w:rsid w:val="00C63660"/>
    <w:rsid w:val="00CB2680"/>
    <w:rsid w:val="00CC7875"/>
    <w:rsid w:val="00CD31F9"/>
    <w:rsid w:val="00CD3BE6"/>
    <w:rsid w:val="00CD6DCD"/>
    <w:rsid w:val="00CF3831"/>
    <w:rsid w:val="00D37745"/>
    <w:rsid w:val="00D448E0"/>
    <w:rsid w:val="00D50F64"/>
    <w:rsid w:val="00D62D8E"/>
    <w:rsid w:val="00D87BC8"/>
    <w:rsid w:val="00DB646E"/>
    <w:rsid w:val="00E164C0"/>
    <w:rsid w:val="00E23659"/>
    <w:rsid w:val="00E30CC4"/>
    <w:rsid w:val="00E54498"/>
    <w:rsid w:val="00E72774"/>
    <w:rsid w:val="00E837DD"/>
    <w:rsid w:val="00E950FA"/>
    <w:rsid w:val="00EA40DC"/>
    <w:rsid w:val="00EC2591"/>
    <w:rsid w:val="00ED17D8"/>
    <w:rsid w:val="00EE7ADE"/>
    <w:rsid w:val="00F02684"/>
    <w:rsid w:val="00F10BBA"/>
    <w:rsid w:val="00F11C75"/>
    <w:rsid w:val="00F25F29"/>
    <w:rsid w:val="00F7337E"/>
    <w:rsid w:val="00F73C22"/>
    <w:rsid w:val="00FB0F7A"/>
    <w:rsid w:val="00FC58E3"/>
    <w:rsid w:val="00FC70D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689C2F"/>
  <w15:docId w15:val="{94DBBE45-3E91-473B-A258-A76E886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1F8"/>
    <w:pPr>
      <w:keepNext/>
      <w:keepLines/>
      <w:spacing w:before="200"/>
      <w:outlineLvl w:val="1"/>
    </w:pPr>
    <w:rPr>
      <w:b/>
      <w:bCs/>
      <w:color w:val="005677" w:themeColor="accent1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F61F8"/>
    <w:pPr>
      <w:spacing w:before="200" w:after="120"/>
      <w:outlineLvl w:val="2"/>
    </w:pPr>
    <w:rPr>
      <w:rFonts w:ascii="Arial" w:hAnsi="Arial"/>
      <w:bCs w:val="0"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2AA7"/>
    <w:rPr>
      <w:rFonts w:asciiTheme="majorHAnsi" w:eastAsiaTheme="majorEastAsia" w:hAnsiTheme="majorHAnsi" w:cstheme="majorBidi"/>
      <w:b/>
      <w:bCs/>
      <w:color w:val="004059" w:themeColor="accent1" w:themeShade="BF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1F8"/>
    <w:rPr>
      <w:b/>
      <w:bCs/>
      <w:color w:val="005677" w:themeColor="accent1"/>
      <w:spacing w:val="-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61F8"/>
    <w:rPr>
      <w:rFonts w:ascii="Arial" w:eastAsiaTheme="majorEastAsia" w:hAnsi="Arial" w:cstheme="majorBidi"/>
      <w:b/>
      <w:color w:val="000000" w:themeColor="text1"/>
      <w:spacing w:val="-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link w:val="ListParagraphChar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CD3BE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paragraph" w:customStyle="1" w:styleId="Custom4">
    <w:name w:val="Custom 4"/>
    <w:basedOn w:val="Normal"/>
    <w:link w:val="Custom4Char"/>
    <w:qFormat/>
    <w:rsid w:val="00CD3BE6"/>
    <w:pPr>
      <w:spacing w:after="140" w:line="280" w:lineRule="atLeast"/>
      <w:ind w:left="-142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4Char">
    <w:name w:val="Custom 4 Char"/>
    <w:basedOn w:val="DefaultParagraphFont"/>
    <w:link w:val="Custom4"/>
    <w:rsid w:val="00CD3BE6"/>
    <w:rPr>
      <w:rFonts w:ascii="Arial" w:eastAsiaTheme="majorEastAsia" w:hAnsi="Arial" w:cstheme="majorBidi"/>
      <w:bCs/>
      <w:i/>
      <w:iCs/>
      <w:color w:val="333366"/>
      <w:sz w:val="24"/>
    </w:rPr>
  </w:style>
  <w:style w:type="paragraph" w:customStyle="1" w:styleId="Bullet">
    <w:name w:val="Bullet"/>
    <w:basedOn w:val="Normal"/>
    <w:link w:val="BulletChar"/>
    <w:rsid w:val="00922F1E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2F1E"/>
    <w:rPr>
      <w:spacing w:val="-2"/>
      <w:sz w:val="20"/>
      <w:szCs w:val="20"/>
    </w:rPr>
  </w:style>
  <w:style w:type="character" w:customStyle="1" w:styleId="BulletChar">
    <w:name w:val="Bullet Char"/>
    <w:basedOn w:val="ListParagraphChar"/>
    <w:link w:val="Bullet"/>
    <w:rsid w:val="00922F1E"/>
    <w:rPr>
      <w:spacing w:val="-2"/>
      <w:sz w:val="20"/>
      <w:szCs w:val="20"/>
    </w:rPr>
  </w:style>
  <w:style w:type="paragraph" w:customStyle="1" w:styleId="Dash">
    <w:name w:val="Dash"/>
    <w:basedOn w:val="Normal"/>
    <w:link w:val="DashChar"/>
    <w:rsid w:val="00922F1E"/>
    <w:pPr>
      <w:numPr>
        <w:ilvl w:val="1"/>
        <w:numId w:val="14"/>
      </w:numPr>
    </w:pPr>
  </w:style>
  <w:style w:type="character" w:customStyle="1" w:styleId="DashChar">
    <w:name w:val="Dash Char"/>
    <w:basedOn w:val="ListParagraphChar"/>
    <w:link w:val="Dash"/>
    <w:rsid w:val="00922F1E"/>
    <w:rPr>
      <w:spacing w:val="-2"/>
      <w:sz w:val="20"/>
      <w:szCs w:val="20"/>
    </w:rPr>
  </w:style>
  <w:style w:type="paragraph" w:customStyle="1" w:styleId="DoubleDot">
    <w:name w:val="Double Dot"/>
    <w:basedOn w:val="Normal"/>
    <w:link w:val="DoubleDotChar"/>
    <w:rsid w:val="00922F1E"/>
    <w:pPr>
      <w:numPr>
        <w:ilvl w:val="2"/>
        <w:numId w:val="14"/>
      </w:numPr>
    </w:pPr>
  </w:style>
  <w:style w:type="character" w:customStyle="1" w:styleId="DoubleDotChar">
    <w:name w:val="Double Dot Char"/>
    <w:basedOn w:val="ListParagraphChar"/>
    <w:link w:val="DoubleDot"/>
    <w:rsid w:val="00922F1E"/>
    <w:rPr>
      <w:spacing w:val="-2"/>
      <w:sz w:val="20"/>
      <w:szCs w:val="20"/>
    </w:rPr>
  </w:style>
  <w:style w:type="paragraph" w:customStyle="1" w:styleId="OutlineNumbered1">
    <w:name w:val="Outline Numbered 1"/>
    <w:basedOn w:val="Normal"/>
    <w:link w:val="OutlineNumbered1Char"/>
    <w:rsid w:val="00922F1E"/>
    <w:pPr>
      <w:numPr>
        <w:numId w:val="15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922F1E"/>
    <w:rPr>
      <w:spacing w:val="-2"/>
      <w:sz w:val="20"/>
      <w:szCs w:val="20"/>
    </w:rPr>
  </w:style>
  <w:style w:type="paragraph" w:customStyle="1" w:styleId="OutlineNumbered2">
    <w:name w:val="Outline Numbered 2"/>
    <w:basedOn w:val="Normal"/>
    <w:link w:val="OutlineNumbered2Char"/>
    <w:rsid w:val="00922F1E"/>
    <w:pPr>
      <w:numPr>
        <w:ilvl w:val="1"/>
        <w:numId w:val="15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922F1E"/>
    <w:rPr>
      <w:spacing w:val="-2"/>
      <w:sz w:val="20"/>
      <w:szCs w:val="20"/>
    </w:rPr>
  </w:style>
  <w:style w:type="paragraph" w:customStyle="1" w:styleId="OutlineNumbered3">
    <w:name w:val="Outline Numbered 3"/>
    <w:basedOn w:val="Normal"/>
    <w:link w:val="OutlineNumbered3Char"/>
    <w:rsid w:val="00922F1E"/>
    <w:pPr>
      <w:numPr>
        <w:ilvl w:val="2"/>
        <w:numId w:val="15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922F1E"/>
    <w:rPr>
      <w:spacing w:val="-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A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ADE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ADE"/>
    <w:rPr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firb.gov.au/apply-no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firb.gov.au/general-guidance/monetary-thresholds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firb.gov.au/guidance-notes" TargetMode="External"/><Relationship Id="rId20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firb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paa.gov.au" TargetMode="External"/><Relationship Id="rId1" Type="http://schemas.openxmlformats.org/officeDocument/2006/relationships/hyperlink" Target="http://www.business.gov.au/mpf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A3PSR54DD4M5-1894031199-74</_dlc_DocId>
    <_dlc_DocIdUrl xmlns="a36bd50b-1532-4c22-b385-5c082c960938">
      <Url>https://dochub/div/officeofnorthernaustralia/businessfunctions/majorprojects/programmemgmnt/_layouts/15/DocIdRedir.aspx?ID=A3PSR54DD4M5-1894031199-74</Url>
      <Description>A3PSR54DD4M5-1894031199-74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6439-0132-47BD-9878-3D83EF30C255}"/>
</file>

<file path=customXml/itemProps2.xml><?xml version="1.0" encoding="utf-8"?>
<ds:datastoreItem xmlns:ds="http://schemas.openxmlformats.org/officeDocument/2006/customXml" ds:itemID="{CFECBD77-1129-4C2B-845E-C81DA4D90B0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a36bd50b-1532-4c22-b385-5c082c9609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8C5091-2C01-44DA-A4DB-40C180CDB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4860E-69C9-426B-A21D-FEDCE7C783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C93543-E3C2-4967-87BF-88802DA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INVESTMENT REVIEW BOARD</vt:lpstr>
    </vt:vector>
  </TitlesOfParts>
  <Company>DIISRTE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INVESTMENT REVIEW BOARD</dc:title>
  <dc:creator>Chen, Evelyn</dc:creator>
  <cp:lastModifiedBy>Pusceddu, Anna</cp:lastModifiedBy>
  <cp:revision>14</cp:revision>
  <cp:lastPrinted>2018-10-18T22:36:00Z</cp:lastPrinted>
  <dcterms:created xsi:type="dcterms:W3CDTF">2021-04-23T03:52:00Z</dcterms:created>
  <dcterms:modified xsi:type="dcterms:W3CDTF">2021-09-06T05:05:00Z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TSYRecordClass">
    <vt:lpwstr>16;#TSY RA-8909 - Retain as national archives|783df9f6-6a3b-4626-95aa-7d6467e087f0</vt:lpwstr>
  </property>
  <property fmtid="{D5CDD505-2E9C-101B-9397-08002B2CF9AE}" pid="8" name="_dlc_DocIdItemGuid">
    <vt:lpwstr>81cd4c86-7bbd-48ad-9622-7c23a8dbaca8</vt:lpwstr>
  </property>
  <property fmtid="{D5CDD505-2E9C-101B-9397-08002B2CF9AE}" pid="9" name="_NewReviewCycle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{31eac4f3-160a-4a13-a9a0-2808d5b44bbf}</vt:lpwstr>
  </property>
  <property fmtid="{D5CDD505-2E9C-101B-9397-08002B2CF9AE}" pid="12" name="RecordPoint_ActiveItemSiteId">
    <vt:lpwstr>{08cedf7d-7ad2-4b81-a81f-47e3ec332c41}</vt:lpwstr>
  </property>
  <property fmtid="{D5CDD505-2E9C-101B-9397-08002B2CF9AE}" pid="13" name="RecordPoint_ActiveItemListId">
    <vt:lpwstr>{de774b4d-4f7d-47cc-b91d-85cba41adf36}</vt:lpwstr>
  </property>
  <property fmtid="{D5CDD505-2E9C-101B-9397-08002B2CF9AE}" pid="14" name="RecordPoint_ActiveItemUniqueId">
    <vt:lpwstr>{abf5890e-d7e7-4757-8d52-6f29212dc71a}</vt:lpwstr>
  </property>
  <property fmtid="{D5CDD505-2E9C-101B-9397-08002B2CF9AE}" pid="15" name="RecordPoint_RecordNumberSubmitted">
    <vt:lpwstr>R0001241837</vt:lpwstr>
  </property>
  <property fmtid="{D5CDD505-2E9C-101B-9397-08002B2CF9AE}" pid="16" name="RecordPoint_SubmissionCompleted">
    <vt:lpwstr>2017-03-20T09:47:06.7712645+11:00</vt:lpwstr>
  </property>
  <property fmtid="{D5CDD505-2E9C-101B-9397-08002B2CF9AE}" pid="17" name="DocHub_Year">
    <vt:lpwstr>387;#2017|5f6de30b-6e1e-4c09-9e51-982258231536</vt:lpwstr>
  </property>
  <property fmtid="{D5CDD505-2E9C-101B-9397-08002B2CF9AE}" pid="18" name="DocHub_DocumentType">
    <vt:lpwstr>52;#Fact Sheet|38af007d-6d80-4dd0-9833-ef17489d7c7e</vt:lpwstr>
  </property>
  <property fmtid="{D5CDD505-2E9C-101B-9397-08002B2CF9AE}" pid="19" name="DocHub_SecurityClassification">
    <vt:lpwstr>3;#UNCLASSIFIED|6106d03b-a1a0-4e30-9d91-d5e9fb4314f9</vt:lpwstr>
  </property>
  <property fmtid="{D5CDD505-2E9C-101B-9397-08002B2CF9AE}" pid="20" name="DocHub_WorkActivity">
    <vt:lpwstr>7;#Communication|cd41d649-1e1a-44f5-b99b-946d42ce56d6</vt:lpwstr>
  </property>
  <property fmtid="{D5CDD505-2E9C-101B-9397-08002B2CF9AE}" pid="21" name="DocHub_Keywords">
    <vt:lpwstr>471;#MPAA|e3e67d11-9afd-49bc-8113-feea8f08469b</vt:lpwstr>
  </property>
  <property fmtid="{D5CDD505-2E9C-101B-9397-08002B2CF9AE}" pid="28" name="DocHub_PDMSNumber">
    <vt:lpwstr/>
  </property>
  <property fmtid="{D5CDD505-2E9C-101B-9397-08002B2CF9AE}" pid="29" name="IconOverlay">
    <vt:lpwstr/>
  </property>
</Properties>
</file>