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210F" w14:textId="77777777" w:rsidR="006709E4" w:rsidRPr="00F02684" w:rsidRDefault="008A394A" w:rsidP="00F02684">
      <w:pPr>
        <w:pStyle w:val="Heading1"/>
      </w:pPr>
      <w:r>
        <w:t>ENVIRONMENT PROTECTION (SEA DUMPING) ACT 1981</w:t>
      </w:r>
    </w:p>
    <w:p w14:paraId="52462110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52462111" w14:textId="640BB459" w:rsidR="008A394A" w:rsidRPr="008A394A" w:rsidRDefault="000F060A" w:rsidP="008A394A">
      <w:pPr>
        <w:pStyle w:val="Custom3"/>
        <w:spacing w:after="200"/>
        <w:ind w:left="0"/>
        <w:rPr>
          <w:i/>
          <w:color w:val="808080" w:themeColor="background1" w:themeShade="80"/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If your p</w:t>
      </w:r>
      <w:r w:rsidR="008A394A" w:rsidRPr="008A394A">
        <w:rPr>
          <w:i/>
          <w:color w:val="808080" w:themeColor="background1" w:themeShade="80"/>
          <w:sz w:val="28"/>
          <w:szCs w:val="28"/>
        </w:rPr>
        <w:t>roject involve</w:t>
      </w:r>
      <w:r>
        <w:rPr>
          <w:i/>
          <w:color w:val="808080" w:themeColor="background1" w:themeShade="80"/>
          <w:sz w:val="28"/>
          <w:szCs w:val="28"/>
        </w:rPr>
        <w:t>s</w:t>
      </w:r>
      <w:r w:rsidR="002611C3">
        <w:rPr>
          <w:i/>
          <w:color w:val="808080" w:themeColor="background1" w:themeShade="80"/>
          <w:sz w:val="28"/>
          <w:szCs w:val="28"/>
        </w:rPr>
        <w:t xml:space="preserve"> the</w:t>
      </w:r>
      <w:r w:rsidR="008A394A" w:rsidRPr="008A394A">
        <w:rPr>
          <w:i/>
          <w:color w:val="808080" w:themeColor="background1" w:themeShade="80"/>
          <w:sz w:val="28"/>
          <w:szCs w:val="28"/>
        </w:rPr>
        <w:t xml:space="preserve"> dispos</w:t>
      </w:r>
      <w:r w:rsidR="002611C3">
        <w:rPr>
          <w:i/>
          <w:color w:val="808080" w:themeColor="background1" w:themeShade="80"/>
          <w:sz w:val="28"/>
          <w:szCs w:val="28"/>
        </w:rPr>
        <w:t>al</w:t>
      </w:r>
      <w:r w:rsidR="008A394A" w:rsidRPr="008A394A">
        <w:rPr>
          <w:i/>
          <w:color w:val="808080" w:themeColor="background1" w:themeShade="80"/>
          <w:sz w:val="28"/>
          <w:szCs w:val="28"/>
        </w:rPr>
        <w:t xml:space="preserve"> of waste</w:t>
      </w:r>
      <w:r w:rsidR="00BA1C4E">
        <w:rPr>
          <w:i/>
          <w:color w:val="808080" w:themeColor="background1" w:themeShade="80"/>
          <w:sz w:val="28"/>
          <w:szCs w:val="28"/>
        </w:rPr>
        <w:t>s or other matter</w:t>
      </w:r>
      <w:r w:rsidR="008A394A" w:rsidRPr="008A394A">
        <w:rPr>
          <w:i/>
          <w:color w:val="808080" w:themeColor="background1" w:themeShade="80"/>
          <w:sz w:val="28"/>
          <w:szCs w:val="28"/>
        </w:rPr>
        <w:t xml:space="preserve"> into Australian waters</w:t>
      </w:r>
      <w:r>
        <w:rPr>
          <w:i/>
          <w:color w:val="808080" w:themeColor="background1" w:themeShade="80"/>
          <w:sz w:val="28"/>
          <w:szCs w:val="28"/>
        </w:rPr>
        <w:t xml:space="preserve">, </w:t>
      </w:r>
      <w:r w:rsidR="006E2017">
        <w:rPr>
          <w:i/>
          <w:color w:val="808080" w:themeColor="background1" w:themeShade="80"/>
          <w:sz w:val="28"/>
          <w:szCs w:val="28"/>
        </w:rPr>
        <w:t xml:space="preserve">or </w:t>
      </w:r>
      <w:r w:rsidR="00BA1C4E">
        <w:rPr>
          <w:i/>
          <w:color w:val="808080" w:themeColor="background1" w:themeShade="80"/>
          <w:sz w:val="28"/>
          <w:szCs w:val="28"/>
        </w:rPr>
        <w:t xml:space="preserve">from </w:t>
      </w:r>
      <w:r w:rsidR="006E2017">
        <w:rPr>
          <w:i/>
          <w:color w:val="808080" w:themeColor="background1" w:themeShade="80"/>
          <w:sz w:val="28"/>
          <w:szCs w:val="28"/>
        </w:rPr>
        <w:t xml:space="preserve">an Australian vessel </w:t>
      </w:r>
      <w:r w:rsidR="002611C3">
        <w:rPr>
          <w:i/>
          <w:color w:val="808080" w:themeColor="background1" w:themeShade="80"/>
          <w:sz w:val="28"/>
          <w:szCs w:val="28"/>
        </w:rPr>
        <w:t xml:space="preserve">in </w:t>
      </w:r>
      <w:r w:rsidR="00BA1C4E">
        <w:rPr>
          <w:i/>
          <w:color w:val="808080" w:themeColor="background1" w:themeShade="80"/>
          <w:sz w:val="28"/>
          <w:szCs w:val="28"/>
        </w:rPr>
        <w:t>any part of the sea</w:t>
      </w:r>
      <w:r w:rsidR="006E2017">
        <w:rPr>
          <w:i/>
          <w:color w:val="808080" w:themeColor="background1" w:themeShade="80"/>
          <w:sz w:val="28"/>
          <w:szCs w:val="28"/>
        </w:rPr>
        <w:t xml:space="preserve">, </w:t>
      </w:r>
      <w:r w:rsidR="00D8694B">
        <w:rPr>
          <w:i/>
          <w:color w:val="808080" w:themeColor="background1" w:themeShade="80"/>
          <w:sz w:val="28"/>
          <w:szCs w:val="28"/>
        </w:rPr>
        <w:t>or the creation of an artificial reef</w:t>
      </w:r>
      <w:r w:rsidR="00D707F9">
        <w:rPr>
          <w:i/>
          <w:color w:val="808080" w:themeColor="background1" w:themeShade="80"/>
          <w:sz w:val="28"/>
          <w:szCs w:val="28"/>
        </w:rPr>
        <w:t>,</w:t>
      </w:r>
      <w:r w:rsidR="00D8694B">
        <w:rPr>
          <w:i/>
          <w:color w:val="808080" w:themeColor="background1" w:themeShade="80"/>
          <w:sz w:val="28"/>
          <w:szCs w:val="28"/>
        </w:rPr>
        <w:t xml:space="preserve"> </w:t>
      </w:r>
      <w:r>
        <w:rPr>
          <w:i/>
          <w:color w:val="808080" w:themeColor="background1" w:themeShade="80"/>
          <w:sz w:val="28"/>
          <w:szCs w:val="28"/>
        </w:rPr>
        <w:t>you must obtain</w:t>
      </w:r>
      <w:r w:rsidR="00CA43B8">
        <w:rPr>
          <w:i/>
          <w:color w:val="808080" w:themeColor="background1" w:themeShade="80"/>
          <w:sz w:val="28"/>
          <w:szCs w:val="28"/>
        </w:rPr>
        <w:t xml:space="preserve"> </w:t>
      </w:r>
      <w:r w:rsidR="00BA1C4E">
        <w:rPr>
          <w:i/>
          <w:color w:val="808080" w:themeColor="background1" w:themeShade="80"/>
          <w:sz w:val="28"/>
          <w:szCs w:val="28"/>
        </w:rPr>
        <w:t xml:space="preserve">a permit </w:t>
      </w:r>
      <w:r>
        <w:rPr>
          <w:i/>
          <w:color w:val="808080" w:themeColor="background1" w:themeShade="80"/>
          <w:sz w:val="28"/>
          <w:szCs w:val="28"/>
        </w:rPr>
        <w:t>in accordance with this Act.</w:t>
      </w:r>
      <w:r w:rsidRPr="008A394A">
        <w:rPr>
          <w:i/>
          <w:color w:val="808080" w:themeColor="background1" w:themeShade="80"/>
          <w:sz w:val="28"/>
          <w:szCs w:val="28"/>
        </w:rPr>
        <w:t xml:space="preserve"> </w:t>
      </w:r>
    </w:p>
    <w:p w14:paraId="52462112" w14:textId="77777777" w:rsidR="006709E4" w:rsidRDefault="006709E4" w:rsidP="006D4B5A">
      <w:pPr>
        <w:sectPr w:rsidR="006709E4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52462114" w14:textId="77777777" w:rsidR="00B82084" w:rsidRPr="00A812CB" w:rsidRDefault="00B82084" w:rsidP="00A812CB">
      <w:pPr>
        <w:pStyle w:val="Heading2"/>
        <w:rPr>
          <w:rStyle w:val="IntenseEmphasis"/>
          <w:rFonts w:asciiTheme="minorHAnsi" w:hAnsiTheme="minorHAnsi" w:cstheme="minorHAnsi"/>
          <w:b/>
          <w:i w:val="0"/>
          <w:szCs w:val="20"/>
        </w:rPr>
      </w:pP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>1.</w:t>
      </w: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ab/>
      </w:r>
      <w:r w:rsidR="008A394A" w:rsidRPr="0047332B">
        <w:t xml:space="preserve">What approvals </w:t>
      </w:r>
      <w:r w:rsidR="000B1BC3" w:rsidRPr="0047332B">
        <w:t>do I need?</w:t>
      </w:r>
    </w:p>
    <w:p w14:paraId="52462115" w14:textId="0F3606B0" w:rsidR="0007178D" w:rsidRDefault="0007178D" w:rsidP="00441BCC">
      <w:pPr>
        <w:pStyle w:val="Custom4"/>
        <w:spacing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</w:t>
      </w:r>
      <w:r w:rsidRPr="0007178D">
        <w:rPr>
          <w:rFonts w:asciiTheme="minorHAnsi" w:hAnsiTheme="minorHAnsi" w:cstheme="minorHAnsi"/>
          <w:color w:val="auto"/>
          <w:sz w:val="20"/>
          <w:szCs w:val="20"/>
        </w:rPr>
        <w:t>Environment Protection (Sea Dumping) Act 1981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regulates the disposal of wastes at sea, and the creation of artificial reefs. </w:t>
      </w:r>
      <w:r w:rsidR="00441BCC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Act applies to all vessels, aircraft and platforms in Australian waters, and to all Australian vessels and aircraft in any part of the sea. </w:t>
      </w:r>
    </w:p>
    <w:p w14:paraId="24594197" w14:textId="77777777" w:rsidR="00441BCC" w:rsidRDefault="00441BCC" w:rsidP="00441BCC">
      <w:pPr>
        <w:pStyle w:val="Custom4"/>
        <w:spacing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14:paraId="072CBA94" w14:textId="1C1B12BA" w:rsidR="00441BCC" w:rsidRDefault="00BA1C4E" w:rsidP="00441BCC">
      <w:pPr>
        <w:pStyle w:val="Custom4"/>
        <w:spacing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>The d</w:t>
      </w:r>
      <w:r w:rsidR="002611C3">
        <w:rPr>
          <w:rFonts w:asciiTheme="minorHAnsi" w:hAnsiTheme="minorHAnsi" w:cstheme="minorHAnsi"/>
          <w:i w:val="0"/>
          <w:color w:val="auto"/>
          <w:sz w:val="20"/>
          <w:szCs w:val="20"/>
        </w:rPr>
        <w:t>isposal of waste</w:t>
      </w:r>
      <w:r w:rsidR="008A394A" w:rsidRPr="008A394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and other matter </w:t>
      </w:r>
      <w:r w:rsidR="00FD2DC0">
        <w:rPr>
          <w:rFonts w:asciiTheme="minorHAnsi" w:hAnsiTheme="minorHAnsi" w:cstheme="minorHAnsi"/>
          <w:i w:val="0"/>
          <w:color w:val="auto"/>
          <w:sz w:val="20"/>
          <w:szCs w:val="20"/>
        </w:rPr>
        <w:t>at sea</w:t>
      </w:r>
      <w:r w:rsidR="008A394A" w:rsidRPr="008A394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723546">
        <w:rPr>
          <w:rFonts w:asciiTheme="minorHAnsi" w:hAnsiTheme="minorHAnsi" w:cstheme="minorHAnsi"/>
          <w:i w:val="0"/>
          <w:color w:val="auto"/>
          <w:sz w:val="20"/>
          <w:szCs w:val="20"/>
        </w:rPr>
        <w:t>is</w:t>
      </w:r>
      <w:r w:rsidR="00723546" w:rsidRPr="008A394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2611C3">
        <w:rPr>
          <w:rFonts w:asciiTheme="minorHAnsi" w:hAnsiTheme="minorHAnsi" w:cstheme="minorHAnsi"/>
          <w:i w:val="0"/>
          <w:color w:val="auto"/>
          <w:sz w:val="20"/>
          <w:szCs w:val="20"/>
        </w:rPr>
        <w:t>prohibited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, except for some controlled materials </w:t>
      </w:r>
      <w:r w:rsidR="00441BCC">
        <w:rPr>
          <w:rFonts w:asciiTheme="minorHAnsi" w:hAnsiTheme="minorHAnsi" w:cstheme="minorHAnsi"/>
          <w:i w:val="0"/>
          <w:color w:val="auto"/>
          <w:sz w:val="20"/>
          <w:szCs w:val="20"/>
        </w:rPr>
        <w:t>which require a permit.</w:t>
      </w:r>
      <w:r w:rsidR="00441BCC" w:rsidRPr="00441BCC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441BCC">
        <w:rPr>
          <w:rFonts w:asciiTheme="minorHAnsi" w:hAnsiTheme="minorHAnsi" w:cstheme="minorHAnsi"/>
          <w:i w:val="0"/>
          <w:color w:val="auto"/>
          <w:sz w:val="20"/>
          <w:szCs w:val="20"/>
        </w:rPr>
        <w:t>Permits are most commonly issued for:</w:t>
      </w:r>
    </w:p>
    <w:p w14:paraId="59FE8719" w14:textId="77777777" w:rsidR="00441BCC" w:rsidRPr="008A394A" w:rsidRDefault="00441BCC" w:rsidP="00441BCC">
      <w:pPr>
        <w:pStyle w:val="Custom4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</w:t>
      </w:r>
      <w:r w:rsidRPr="008A394A">
        <w:rPr>
          <w:rFonts w:asciiTheme="minorHAnsi" w:hAnsiTheme="minorHAnsi" w:cstheme="minorHAnsi"/>
          <w:i w:val="0"/>
          <w:color w:val="auto"/>
          <w:sz w:val="20"/>
          <w:szCs w:val="20"/>
        </w:rPr>
        <w:t>disposal of dredge material</w:t>
      </w:r>
      <w:bookmarkStart w:id="0" w:name="_GoBack"/>
      <w:bookmarkEnd w:id="0"/>
    </w:p>
    <w:p w14:paraId="1491A0ED" w14:textId="77777777" w:rsidR="00441BCC" w:rsidRPr="008A394A" w:rsidRDefault="00441BCC" w:rsidP="00441BCC">
      <w:pPr>
        <w:pStyle w:val="Custom4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8A394A">
        <w:rPr>
          <w:rFonts w:asciiTheme="minorHAnsi" w:hAnsiTheme="minorHAnsi" w:cstheme="minorHAnsi"/>
          <w:i w:val="0"/>
          <w:color w:val="auto"/>
          <w:sz w:val="20"/>
          <w:szCs w:val="20"/>
        </w:rPr>
        <w:t>the creation of artificial reefs</w:t>
      </w:r>
    </w:p>
    <w:p w14:paraId="31D76B95" w14:textId="77777777" w:rsidR="00441BCC" w:rsidRPr="008A394A" w:rsidRDefault="00441BCC" w:rsidP="00441BCC">
      <w:pPr>
        <w:pStyle w:val="Custom4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</w:t>
      </w:r>
      <w:r w:rsidRPr="008A394A">
        <w:rPr>
          <w:rFonts w:asciiTheme="minorHAnsi" w:hAnsiTheme="minorHAnsi" w:cstheme="minorHAnsi"/>
          <w:i w:val="0"/>
          <w:color w:val="auto"/>
          <w:sz w:val="20"/>
          <w:szCs w:val="20"/>
        </w:rPr>
        <w:t>dumping of vessels, platforms or other man-made structures</w:t>
      </w:r>
    </w:p>
    <w:p w14:paraId="3046F18C" w14:textId="36891A1A" w:rsidR="00441BCC" w:rsidRDefault="00441BCC" w:rsidP="00441BCC">
      <w:pPr>
        <w:pStyle w:val="Custom4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8A394A">
        <w:rPr>
          <w:rFonts w:asciiTheme="minorHAnsi" w:hAnsiTheme="minorHAnsi" w:cstheme="minorHAnsi"/>
          <w:i w:val="0"/>
          <w:color w:val="auto"/>
          <w:sz w:val="20"/>
          <w:szCs w:val="20"/>
        </w:rPr>
        <w:t>burials at sea</w:t>
      </w:r>
      <w:r w:rsidR="00AA0D43">
        <w:rPr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38E5613" w14:textId="77777777" w:rsidR="00AA0D43" w:rsidRDefault="00AA0D43" w:rsidP="00AA0D43">
      <w:pPr>
        <w:pStyle w:val="Custom4"/>
        <w:spacing w:after="0" w:line="240" w:lineRule="auto"/>
        <w:ind w:left="360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14:paraId="31F90724" w14:textId="1AB6D440" w:rsidR="00AA0D43" w:rsidRDefault="00AA0D43" w:rsidP="00AA0D43">
      <w:pPr>
        <w:pStyle w:val="Custom4"/>
        <w:spacing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  <w:r w:rsidRPr="00AA0D43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 xml:space="preserve">The Act does not apply to operational discharges from ships, such as sewage and galley scraps. These are regulated under legislation administered by the </w:t>
      </w:r>
      <w:hyperlink r:id="rId16" w:history="1">
        <w:r w:rsidR="00B27392" w:rsidRPr="00374918">
          <w:rPr>
            <w:rStyle w:val="Hyperlink"/>
            <w:rFonts w:asciiTheme="minorHAnsi" w:hAnsiTheme="minorHAnsi" w:cstheme="minorHAnsi"/>
            <w:i w:val="0"/>
            <w:sz w:val="20"/>
            <w:szCs w:val="20"/>
            <w:lang w:val="en"/>
          </w:rPr>
          <w:t>Australian Maritime Safety Authority</w:t>
        </w:r>
      </w:hyperlink>
      <w:r w:rsidRPr="00AA0D43"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  <w:t>.</w:t>
      </w:r>
    </w:p>
    <w:p w14:paraId="0BCA0663" w14:textId="77777777" w:rsidR="00D66B64" w:rsidRDefault="00D66B64" w:rsidP="00AA0D43">
      <w:pPr>
        <w:pStyle w:val="Custom4"/>
        <w:spacing w:after="0"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  <w:lang w:val="en"/>
        </w:rPr>
      </w:pPr>
    </w:p>
    <w:p w14:paraId="6F94D849" w14:textId="608A9009" w:rsidR="00D66B64" w:rsidRDefault="00D66B64" w:rsidP="00D66B64">
      <w:pPr>
        <w:rPr>
          <w:i/>
          <w:lang w:val="en"/>
        </w:rPr>
      </w:pPr>
      <w:r>
        <w:rPr>
          <w:lang w:val="en"/>
        </w:rPr>
        <w:t>I</w:t>
      </w:r>
      <w:r w:rsidRPr="00747517">
        <w:rPr>
          <w:lang w:val="en"/>
        </w:rPr>
        <w:t xml:space="preserve">f you are proposing to take an action that could have a significant impact on a matter of national environmental significance, or other protected matter such as the Commonwealth marine environment, you will need to refer your proposed action to the </w:t>
      </w:r>
      <w:r w:rsidR="00187061">
        <w:rPr>
          <w:lang w:val="en"/>
        </w:rPr>
        <w:t xml:space="preserve">Commonwealth </w:t>
      </w:r>
      <w:r w:rsidRPr="00747517">
        <w:rPr>
          <w:lang w:val="en"/>
        </w:rPr>
        <w:t xml:space="preserve">Minister for the Environment under the </w:t>
      </w:r>
      <w:r w:rsidRPr="00F21897">
        <w:rPr>
          <w:i/>
          <w:lang w:val="en"/>
        </w:rPr>
        <w:t>Environment Protection and Biodiversity Conservation Act 1999</w:t>
      </w:r>
      <w:r>
        <w:rPr>
          <w:lang w:val="en"/>
        </w:rPr>
        <w:t>.</w:t>
      </w:r>
    </w:p>
    <w:p w14:paraId="5246211C" w14:textId="77777777" w:rsidR="00B82084" w:rsidRPr="00A812CB" w:rsidRDefault="00B82084" w:rsidP="00A812CB">
      <w:pPr>
        <w:pStyle w:val="Heading2"/>
        <w:rPr>
          <w:rStyle w:val="IntenseEmphasis"/>
          <w:rFonts w:asciiTheme="minorHAnsi" w:hAnsiTheme="minorHAnsi" w:cstheme="minorHAnsi"/>
          <w:b/>
          <w:i w:val="0"/>
          <w:szCs w:val="20"/>
        </w:rPr>
      </w:pP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>2.</w:t>
      </w: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ab/>
      </w:r>
      <w:r w:rsidR="002611C3" w:rsidRPr="0047332B">
        <w:t>Who provides approvals?</w:t>
      </w:r>
    </w:p>
    <w:p w14:paraId="5246211D" w14:textId="1C899FB0" w:rsidR="00503F0C" w:rsidRDefault="00FD2DC0" w:rsidP="00A53580">
      <w:pPr>
        <w:pStyle w:val="Custom4"/>
        <w:spacing w:line="240" w:lineRule="auto"/>
        <w:ind w:left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Department of </w:t>
      </w:r>
      <w:r w:rsidR="00A72646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Agriculture, Water and 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the Environment</w:t>
      </w:r>
      <w:r w:rsidR="00167A41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07178D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administers 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</w:t>
      </w:r>
      <w:r w:rsidR="008A394A" w:rsidRPr="00FD2DC0">
        <w:rPr>
          <w:rFonts w:cstheme="minorHAnsi"/>
          <w:bCs w:val="0"/>
          <w:iCs w:val="0"/>
          <w:color w:val="auto"/>
          <w:sz w:val="20"/>
        </w:rPr>
        <w:t>Environment Protection (Sea Dumping) Act 1981</w:t>
      </w:r>
      <w:r>
        <w:rPr>
          <w:rFonts w:asciiTheme="minorHAnsi" w:hAnsiTheme="minorHAnsi" w:cstheme="minorHAnsi"/>
          <w:i w:val="0"/>
          <w:color w:val="auto"/>
          <w:sz w:val="16"/>
          <w:szCs w:val="20"/>
        </w:rPr>
        <w:t>.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</w:p>
    <w:p w14:paraId="2CA94554" w14:textId="3D81AE43" w:rsidR="004C5FC0" w:rsidRPr="00441BCC" w:rsidRDefault="00503F0C" w:rsidP="00441BCC">
      <w:pPr>
        <w:pStyle w:val="Custom4"/>
        <w:spacing w:line="240" w:lineRule="auto"/>
        <w:ind w:left="0"/>
        <w:rPr>
          <w:rStyle w:val="IntenseEmphasis"/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The Act applies to </w:t>
      </w:r>
      <w:r w:rsidR="00BA1C4E">
        <w:rPr>
          <w:rFonts w:asciiTheme="minorHAnsi" w:hAnsiTheme="minorHAnsi" w:cstheme="minorHAnsi"/>
          <w:i w:val="0"/>
          <w:color w:val="auto"/>
          <w:sz w:val="20"/>
          <w:szCs w:val="20"/>
        </w:rPr>
        <w:t>Australian waters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, which</w:t>
      </w:r>
      <w:r w:rsidR="00BA1C4E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includes all water within Australia’s exclusive economic zone </w:t>
      </w:r>
      <w:r w:rsidR="00441BCC">
        <w:rPr>
          <w:rFonts w:asciiTheme="minorHAnsi" w:hAnsiTheme="minorHAnsi" w:cstheme="minorHAnsi"/>
          <w:i w:val="0"/>
          <w:color w:val="auto"/>
          <w:sz w:val="20"/>
          <w:szCs w:val="20"/>
        </w:rPr>
        <w:t>and above the continental shelf.</w:t>
      </w:r>
      <w:r w:rsidR="00BA1C4E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FD2DC0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Activity within </w:t>
      </w:r>
      <w:r w:rsidR="0007178D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coastal </w:t>
      </w:r>
      <w:r w:rsidR="00FD2DC0">
        <w:rPr>
          <w:rFonts w:asciiTheme="minorHAnsi" w:hAnsiTheme="minorHAnsi" w:cstheme="minorHAnsi"/>
          <w:i w:val="0"/>
          <w:color w:val="auto"/>
          <w:sz w:val="20"/>
          <w:szCs w:val="20"/>
        </w:rPr>
        <w:t>wate</w:t>
      </w:r>
      <w:r w:rsidR="00CA43B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rs </w:t>
      </w:r>
      <w:r w:rsidR="00405B9E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(3 nautical miles) </w:t>
      </w:r>
      <w:r w:rsidR="00BA1C4E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may also be </w:t>
      </w:r>
      <w:r w:rsidR="00CA43B8">
        <w:rPr>
          <w:rFonts w:asciiTheme="minorHAnsi" w:hAnsiTheme="minorHAnsi" w:cstheme="minorHAnsi"/>
          <w:i w:val="0"/>
          <w:color w:val="auto"/>
          <w:sz w:val="20"/>
          <w:szCs w:val="20"/>
        </w:rPr>
        <w:t>regulated by the</w:t>
      </w:r>
      <w:r w:rsidR="0068140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relevant</w:t>
      </w:r>
      <w:r w:rsidR="00CA43B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State </w:t>
      </w:r>
      <w:r w:rsidR="00681407">
        <w:rPr>
          <w:rFonts w:asciiTheme="minorHAnsi" w:hAnsiTheme="minorHAnsi" w:cstheme="minorHAnsi"/>
          <w:i w:val="0"/>
          <w:color w:val="auto"/>
          <w:sz w:val="20"/>
          <w:szCs w:val="20"/>
        </w:rPr>
        <w:t>or</w:t>
      </w:r>
      <w:r w:rsidR="00CA43B8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T</w:t>
      </w:r>
      <w:r w:rsidR="00FD2DC0">
        <w:rPr>
          <w:rFonts w:asciiTheme="minorHAnsi" w:hAnsiTheme="minorHAnsi" w:cstheme="minorHAnsi"/>
          <w:i w:val="0"/>
          <w:color w:val="auto"/>
          <w:sz w:val="20"/>
          <w:szCs w:val="20"/>
        </w:rPr>
        <w:t>erritory government</w:t>
      </w:r>
      <w:r w:rsidR="006F1792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and ad</w:t>
      </w:r>
      <w:r w:rsidR="00FD2DC0">
        <w:rPr>
          <w:rFonts w:asciiTheme="minorHAnsi" w:hAnsiTheme="minorHAnsi" w:cstheme="minorHAnsi"/>
          <w:i w:val="0"/>
          <w:color w:val="auto"/>
          <w:sz w:val="20"/>
          <w:szCs w:val="20"/>
        </w:rPr>
        <w:t>ditional approvals may be required.</w:t>
      </w:r>
    </w:p>
    <w:p w14:paraId="52462120" w14:textId="77777777" w:rsidR="00CA43B8" w:rsidRPr="00A812CB" w:rsidRDefault="00B82084" w:rsidP="00A812CB">
      <w:pPr>
        <w:pStyle w:val="Heading2"/>
        <w:rPr>
          <w:rStyle w:val="IntenseEmphasis"/>
          <w:rFonts w:asciiTheme="minorHAnsi" w:hAnsiTheme="minorHAnsi" w:cstheme="minorHAnsi"/>
          <w:b/>
          <w:i w:val="0"/>
          <w:szCs w:val="20"/>
        </w:rPr>
      </w:pP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>3.</w:t>
      </w: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ab/>
      </w:r>
      <w:r w:rsidR="002611C3" w:rsidRPr="0047332B">
        <w:t>How</w:t>
      </w:r>
      <w:r w:rsidR="003E0B6D" w:rsidRPr="0047332B">
        <w:t xml:space="preserve"> do I get Commonwealth approval</w:t>
      </w:r>
      <w:r w:rsidR="002611C3" w:rsidRPr="0047332B">
        <w:t>?</w:t>
      </w:r>
    </w:p>
    <w:p w14:paraId="52462124" w14:textId="467FC095" w:rsidR="00CA43B8" w:rsidRPr="00AA0D43" w:rsidRDefault="00203DEE" w:rsidP="00AA0D43">
      <w:pPr>
        <w:spacing w:after="140"/>
        <w:rPr>
          <w:rStyle w:val="IntenseEmphasis"/>
          <w:rFonts w:cstheme="minorHAnsi"/>
          <w:i w:val="0"/>
        </w:rPr>
      </w:pPr>
      <w:r>
        <w:rPr>
          <w:rFonts w:cstheme="minorHAnsi"/>
        </w:rPr>
        <w:t xml:space="preserve">Guidelines and application forms </w:t>
      </w:r>
      <w:r w:rsidR="00CA43B8" w:rsidRPr="00CA43B8">
        <w:rPr>
          <w:rFonts w:cstheme="minorHAnsi"/>
        </w:rPr>
        <w:t xml:space="preserve">are available on the </w:t>
      </w:r>
      <w:r w:rsidR="00DA6A2A">
        <w:rPr>
          <w:rFonts w:cstheme="minorHAnsi"/>
        </w:rPr>
        <w:t xml:space="preserve">Department of </w:t>
      </w:r>
      <w:r w:rsidR="00A72646">
        <w:rPr>
          <w:rFonts w:cstheme="minorHAnsi"/>
        </w:rPr>
        <w:t xml:space="preserve">Agriculture, Water and </w:t>
      </w:r>
      <w:r w:rsidR="00DA6A2A">
        <w:rPr>
          <w:rFonts w:cstheme="minorHAnsi"/>
        </w:rPr>
        <w:t xml:space="preserve">the </w:t>
      </w:r>
      <w:r w:rsidR="00CA43B8" w:rsidRPr="00CA43B8">
        <w:rPr>
          <w:rFonts w:cstheme="minorHAnsi"/>
        </w:rPr>
        <w:t xml:space="preserve">Environment </w:t>
      </w:r>
      <w:hyperlink r:id="rId17" w:history="1">
        <w:r w:rsidR="00CA43B8" w:rsidRPr="00CA43B8">
          <w:rPr>
            <w:rStyle w:val="Hyperlink"/>
            <w:rFonts w:cstheme="minorHAnsi"/>
          </w:rPr>
          <w:t>website</w:t>
        </w:r>
      </w:hyperlink>
      <w:r w:rsidRPr="00CA43B8">
        <w:rPr>
          <w:rFonts w:cstheme="minorHAnsi"/>
        </w:rPr>
        <w:t>.</w:t>
      </w:r>
      <w:r w:rsidR="000106BC">
        <w:rPr>
          <w:rFonts w:cstheme="minorHAnsi"/>
        </w:rPr>
        <w:t xml:space="preserve"> </w:t>
      </w:r>
    </w:p>
    <w:p w14:paraId="52462125" w14:textId="77777777" w:rsidR="00B82084" w:rsidRPr="00A812CB" w:rsidRDefault="00B82084" w:rsidP="0088477A">
      <w:pPr>
        <w:pStyle w:val="Heading2"/>
        <w:spacing w:beforeLines="40" w:before="96"/>
        <w:rPr>
          <w:rStyle w:val="IntenseEmphasis"/>
          <w:rFonts w:asciiTheme="minorHAnsi" w:hAnsiTheme="minorHAnsi" w:cstheme="minorHAnsi"/>
          <w:b/>
          <w:i w:val="0"/>
          <w:szCs w:val="20"/>
        </w:rPr>
      </w:pP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>4.</w:t>
      </w:r>
      <w:r w:rsidRPr="00A812CB">
        <w:rPr>
          <w:rStyle w:val="IntenseEmphasis"/>
          <w:rFonts w:asciiTheme="minorHAnsi" w:hAnsiTheme="minorHAnsi" w:cstheme="minorHAnsi"/>
          <w:b/>
          <w:i w:val="0"/>
          <w:szCs w:val="20"/>
        </w:rPr>
        <w:tab/>
      </w:r>
      <w:r w:rsidR="00167A41" w:rsidRPr="0047332B">
        <w:t>More information</w:t>
      </w:r>
    </w:p>
    <w:p w14:paraId="3EC7CAC3" w14:textId="77777777" w:rsidR="0088477A" w:rsidRDefault="00441BCC" w:rsidP="0088477A">
      <w:pPr>
        <w:pStyle w:val="Heading3"/>
        <w:spacing w:beforeLines="40" w:before="96"/>
        <w:rPr>
          <w:b w:val="0"/>
        </w:rPr>
      </w:pPr>
      <w:r w:rsidRPr="0088477A">
        <w:t>Commonwealth</w:t>
      </w:r>
    </w:p>
    <w:p w14:paraId="2D7D46A4" w14:textId="2E0BFA2F" w:rsidR="00F21056" w:rsidRDefault="00441BCC" w:rsidP="0088477A">
      <w:pPr>
        <w:rPr>
          <w:b/>
        </w:rPr>
      </w:pPr>
      <w:r w:rsidRPr="008A394A">
        <w:t xml:space="preserve">For more information </w:t>
      </w:r>
      <w:r>
        <w:t xml:space="preserve">about sea dumping, visit </w:t>
      </w:r>
      <w:r w:rsidRPr="008A394A">
        <w:t xml:space="preserve">the Department of </w:t>
      </w:r>
      <w:r w:rsidR="00A72646">
        <w:t xml:space="preserve">Agriculture, Water and </w:t>
      </w:r>
      <w:r w:rsidRPr="008A394A">
        <w:t>the Environment</w:t>
      </w:r>
      <w:r>
        <w:t xml:space="preserve"> </w:t>
      </w:r>
      <w:hyperlink r:id="rId18" w:history="1">
        <w:r w:rsidRPr="002466C4">
          <w:rPr>
            <w:rStyle w:val="Hyperlink"/>
            <w:rFonts w:cstheme="minorHAnsi"/>
          </w:rPr>
          <w:t>website</w:t>
        </w:r>
      </w:hyperlink>
      <w:r>
        <w:t>.</w:t>
      </w:r>
      <w:r w:rsidR="000106BC" w:rsidRPr="000106BC">
        <w:rPr>
          <w:b/>
        </w:rPr>
        <w:t xml:space="preserve"> </w:t>
      </w:r>
    </w:p>
    <w:p w14:paraId="3E7B67DC" w14:textId="3A0BD533" w:rsidR="000106BC" w:rsidRDefault="000106BC" w:rsidP="0047332B">
      <w:pPr>
        <w:pStyle w:val="Heading3"/>
      </w:pPr>
      <w:r w:rsidRPr="00BF3D9C">
        <w:t>Major Projects Facilitation Agency</w:t>
      </w:r>
      <w:r>
        <w:t xml:space="preserve"> </w:t>
      </w:r>
    </w:p>
    <w:p w14:paraId="4AF1D471" w14:textId="0097CD9D" w:rsidR="000106BC" w:rsidRPr="00F21056" w:rsidRDefault="000106BC" w:rsidP="000106BC">
      <w:pPr>
        <w:spacing w:before="20" w:after="20"/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19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6FA0C6A7" w14:textId="0AF31F07" w:rsidR="000106BC" w:rsidRPr="00A74053" w:rsidRDefault="000106BC" w:rsidP="000106BC">
      <w:pPr>
        <w:spacing w:before="20" w:after="20"/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  <w:r>
        <w:t>Email:</w:t>
      </w:r>
      <w:r>
        <w:tab/>
      </w:r>
      <w:r>
        <w:tab/>
      </w:r>
      <w:r w:rsidR="00B6499A" w:rsidRPr="00B6499A">
        <w:rPr>
          <w:rStyle w:val="Hyperlink"/>
        </w:rPr>
        <w:t>mpfa@industry.gov.au</w:t>
      </w:r>
    </w:p>
    <w:p w14:paraId="5246212F" w14:textId="1E1EF627" w:rsidR="00B82084" w:rsidRPr="008E5FD7" w:rsidRDefault="00B82084" w:rsidP="00127AB1">
      <w:pPr>
        <w:rPr>
          <w:rStyle w:val="IntenseEmphasis"/>
          <w:rFonts w:cstheme="minorHAnsi"/>
          <w:b w:val="0"/>
          <w:i w:val="0"/>
        </w:rPr>
      </w:pPr>
    </w:p>
    <w:sectPr w:rsidR="00B82084" w:rsidRPr="008E5FD7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2132" w14:textId="77777777" w:rsidR="004B4BF9" w:rsidRDefault="004B4BF9" w:rsidP="00B526AB">
      <w:pPr>
        <w:spacing w:after="0"/>
      </w:pPr>
      <w:r>
        <w:separator/>
      </w:r>
    </w:p>
  </w:endnote>
  <w:endnote w:type="continuationSeparator" w:id="0">
    <w:p w14:paraId="52462133" w14:textId="77777777" w:rsidR="004B4BF9" w:rsidRDefault="004B4BF9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2134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462135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2136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DF7655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52462138" w14:textId="1221FC81" w:rsidR="006709E4" w:rsidRDefault="006709E4" w:rsidP="008E5FD7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4B7ACA">
      <w:t xml:space="preserve"> The Major Project Approval Agency (MPAA) assists Major Project Proponents to navigate the approvals process, however the MPAA it does not grant approvals, nor administer this Act or Regulations.</w:t>
    </w:r>
    <w:r w:rsidR="008E5FD7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="005D15EA">
      <w:t>4 October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213A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5246213B" w14:textId="77777777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0F060A">
      <w:t xml:space="preserve"> The Major Project</w:t>
    </w:r>
    <w:r w:rsidR="001E3F28">
      <w:t>s</w:t>
    </w:r>
    <w:r w:rsidR="000F060A">
      <w:t xml:space="preserve"> Approval Agency (MPAA) assists Major Project Proponents to</w:t>
    </w:r>
    <w:r w:rsidR="001E3F28">
      <w:t xml:space="preserve"> navigate the approvals process. T</w:t>
    </w:r>
    <w:r w:rsidR="000F060A">
      <w:t>he MPAA does not grant approvals, nor administer either Act.</w:t>
    </w:r>
  </w:p>
  <w:p w14:paraId="5246213C" w14:textId="63AF7E4B" w:rsidR="006709E4" w:rsidRDefault="006D2DF8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C01BDA" w:rsidRPr="009F6134">
        <w:rPr>
          <w:rStyle w:val="Hyperlink"/>
        </w:rPr>
        <w:t>www.business.gov.au/mpfa</w:t>
      </w:r>
    </w:hyperlink>
    <w:r w:rsidR="00C01BDA">
      <w:t xml:space="preserve"> </w:t>
    </w:r>
    <w:r w:rsidR="00C01BDA">
      <w:tab/>
    </w:r>
    <w:r w:rsidR="00C01BDA">
      <w:tab/>
    </w:r>
    <w:r w:rsidR="00C01BDA">
      <w:tab/>
    </w:r>
    <w:r w:rsidR="00C01BDA">
      <w:tab/>
    </w:r>
    <w:r w:rsidR="00C01BDA">
      <w:tab/>
    </w:r>
    <w:r w:rsidR="00C01BDA">
      <w:tab/>
    </w:r>
    <w:r w:rsidR="00C01BDA">
      <w:tab/>
    </w:r>
    <w:r w:rsidR="00C01BDA">
      <w:tab/>
    </w:r>
    <w:r w:rsidR="00C01BDA">
      <w:tab/>
    </w:r>
    <w:r w:rsidR="00C01BDA">
      <w:tab/>
    </w:r>
    <w:r w:rsidR="00B6499A" w:rsidRPr="00B6499A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24402F" w:rsidRPr="0024402F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2130" w14:textId="77777777" w:rsidR="004B4BF9" w:rsidRDefault="004B4BF9" w:rsidP="00B526AB">
      <w:pPr>
        <w:spacing w:after="0"/>
      </w:pPr>
      <w:r>
        <w:separator/>
      </w:r>
    </w:p>
  </w:footnote>
  <w:footnote w:type="continuationSeparator" w:id="0">
    <w:p w14:paraId="52462131" w14:textId="77777777" w:rsidR="004B4BF9" w:rsidRDefault="004B4BF9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2139" w14:textId="64EBD2E6" w:rsidR="006709E4" w:rsidRDefault="00032919">
    <w:pPr>
      <w:pStyle w:val="Header"/>
    </w:pPr>
    <w:r>
      <w:rPr>
        <w:noProof/>
        <w:lang w:eastAsia="en-AU"/>
      </w:rPr>
      <w:drawing>
        <wp:inline distT="0" distB="0" distL="0" distR="0" wp14:anchorId="7C2E8D6D" wp14:editId="06EF93BA">
          <wp:extent cx="6443980" cy="3243580"/>
          <wp:effectExtent l="0" t="0" r="0" b="0"/>
          <wp:docPr id="2" name="Picture 2" descr="Major Projects Approval Agency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324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E6F7AD9"/>
    <w:multiLevelType w:val="hybridMultilevel"/>
    <w:tmpl w:val="5E287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106BC"/>
    <w:rsid w:val="00032919"/>
    <w:rsid w:val="000529E4"/>
    <w:rsid w:val="0007178D"/>
    <w:rsid w:val="000B1BC3"/>
    <w:rsid w:val="000B2CAA"/>
    <w:rsid w:val="000F060A"/>
    <w:rsid w:val="000F38CC"/>
    <w:rsid w:val="00121197"/>
    <w:rsid w:val="00127AB1"/>
    <w:rsid w:val="001410C4"/>
    <w:rsid w:val="00163B54"/>
    <w:rsid w:val="00167A41"/>
    <w:rsid w:val="00173968"/>
    <w:rsid w:val="00180896"/>
    <w:rsid w:val="00187061"/>
    <w:rsid w:val="001A25AE"/>
    <w:rsid w:val="001A2DC6"/>
    <w:rsid w:val="001E3F28"/>
    <w:rsid w:val="00203DEE"/>
    <w:rsid w:val="002300AC"/>
    <w:rsid w:val="00237A8F"/>
    <w:rsid w:val="0024402F"/>
    <w:rsid w:val="00244596"/>
    <w:rsid w:val="00244EC3"/>
    <w:rsid w:val="002466C4"/>
    <w:rsid w:val="002611C3"/>
    <w:rsid w:val="00263E00"/>
    <w:rsid w:val="00270AEB"/>
    <w:rsid w:val="0027105F"/>
    <w:rsid w:val="002B57BF"/>
    <w:rsid w:val="002C1900"/>
    <w:rsid w:val="002C6B66"/>
    <w:rsid w:val="002D3954"/>
    <w:rsid w:val="002D5D18"/>
    <w:rsid w:val="002E14EA"/>
    <w:rsid w:val="002E201E"/>
    <w:rsid w:val="002F65AF"/>
    <w:rsid w:val="00304F04"/>
    <w:rsid w:val="003253A2"/>
    <w:rsid w:val="003566B7"/>
    <w:rsid w:val="00375EC6"/>
    <w:rsid w:val="0038442D"/>
    <w:rsid w:val="003A067C"/>
    <w:rsid w:val="003E0B6D"/>
    <w:rsid w:val="00402E42"/>
    <w:rsid w:val="00405B9E"/>
    <w:rsid w:val="00407ECA"/>
    <w:rsid w:val="004111E9"/>
    <w:rsid w:val="00436B60"/>
    <w:rsid w:val="00441BCC"/>
    <w:rsid w:val="00452BA6"/>
    <w:rsid w:val="00470BD0"/>
    <w:rsid w:val="0047332B"/>
    <w:rsid w:val="00493A5F"/>
    <w:rsid w:val="004B4BF9"/>
    <w:rsid w:val="004B7ACA"/>
    <w:rsid w:val="004C5FC0"/>
    <w:rsid w:val="00503F0C"/>
    <w:rsid w:val="00523023"/>
    <w:rsid w:val="00532C9B"/>
    <w:rsid w:val="00556ED9"/>
    <w:rsid w:val="00563270"/>
    <w:rsid w:val="005642F2"/>
    <w:rsid w:val="0057207B"/>
    <w:rsid w:val="00585806"/>
    <w:rsid w:val="005D0228"/>
    <w:rsid w:val="005D15EA"/>
    <w:rsid w:val="005D4389"/>
    <w:rsid w:val="005F1934"/>
    <w:rsid w:val="00602C92"/>
    <w:rsid w:val="00612A48"/>
    <w:rsid w:val="006709E4"/>
    <w:rsid w:val="00681407"/>
    <w:rsid w:val="00687C6F"/>
    <w:rsid w:val="0069796D"/>
    <w:rsid w:val="006B0076"/>
    <w:rsid w:val="006C2852"/>
    <w:rsid w:val="006C2F68"/>
    <w:rsid w:val="006C7F6D"/>
    <w:rsid w:val="006D27B0"/>
    <w:rsid w:val="006D2DF8"/>
    <w:rsid w:val="006D4B5A"/>
    <w:rsid w:val="006E1767"/>
    <w:rsid w:val="006E2017"/>
    <w:rsid w:val="006F1792"/>
    <w:rsid w:val="00707A83"/>
    <w:rsid w:val="00714633"/>
    <w:rsid w:val="00717472"/>
    <w:rsid w:val="00723546"/>
    <w:rsid w:val="00723B30"/>
    <w:rsid w:val="007532D8"/>
    <w:rsid w:val="007818D0"/>
    <w:rsid w:val="00796F90"/>
    <w:rsid w:val="007B2AA7"/>
    <w:rsid w:val="007C04FA"/>
    <w:rsid w:val="007D7AC4"/>
    <w:rsid w:val="007E2292"/>
    <w:rsid w:val="00822068"/>
    <w:rsid w:val="00850038"/>
    <w:rsid w:val="008524F2"/>
    <w:rsid w:val="00860182"/>
    <w:rsid w:val="00864B05"/>
    <w:rsid w:val="0088477A"/>
    <w:rsid w:val="00885D73"/>
    <w:rsid w:val="0088639D"/>
    <w:rsid w:val="008A131C"/>
    <w:rsid w:val="008A394A"/>
    <w:rsid w:val="008C201E"/>
    <w:rsid w:val="008C7A8F"/>
    <w:rsid w:val="008D3F49"/>
    <w:rsid w:val="008E5FD7"/>
    <w:rsid w:val="008F2E6E"/>
    <w:rsid w:val="0092552F"/>
    <w:rsid w:val="00956813"/>
    <w:rsid w:val="00960D9F"/>
    <w:rsid w:val="00971390"/>
    <w:rsid w:val="00975726"/>
    <w:rsid w:val="00991FDD"/>
    <w:rsid w:val="009A0EF0"/>
    <w:rsid w:val="009A4C2D"/>
    <w:rsid w:val="009D7BB6"/>
    <w:rsid w:val="009E5BA5"/>
    <w:rsid w:val="009E60D8"/>
    <w:rsid w:val="00A51E16"/>
    <w:rsid w:val="00A53580"/>
    <w:rsid w:val="00A72646"/>
    <w:rsid w:val="00A812CB"/>
    <w:rsid w:val="00A85BA1"/>
    <w:rsid w:val="00AA0D43"/>
    <w:rsid w:val="00AE5300"/>
    <w:rsid w:val="00AF3381"/>
    <w:rsid w:val="00B147DB"/>
    <w:rsid w:val="00B27392"/>
    <w:rsid w:val="00B375E6"/>
    <w:rsid w:val="00B52397"/>
    <w:rsid w:val="00B526AB"/>
    <w:rsid w:val="00B60B0E"/>
    <w:rsid w:val="00B622F2"/>
    <w:rsid w:val="00B6499A"/>
    <w:rsid w:val="00B82084"/>
    <w:rsid w:val="00BA1C4E"/>
    <w:rsid w:val="00BA74D2"/>
    <w:rsid w:val="00BB6CDD"/>
    <w:rsid w:val="00BE3715"/>
    <w:rsid w:val="00C01BDA"/>
    <w:rsid w:val="00C26F6D"/>
    <w:rsid w:val="00C76CC2"/>
    <w:rsid w:val="00CA0E24"/>
    <w:rsid w:val="00CA43B8"/>
    <w:rsid w:val="00CA4516"/>
    <w:rsid w:val="00CB2680"/>
    <w:rsid w:val="00CC7875"/>
    <w:rsid w:val="00CD6642"/>
    <w:rsid w:val="00D068B7"/>
    <w:rsid w:val="00D33DBD"/>
    <w:rsid w:val="00D4160F"/>
    <w:rsid w:val="00D66B64"/>
    <w:rsid w:val="00D707F9"/>
    <w:rsid w:val="00D8694B"/>
    <w:rsid w:val="00D87BC8"/>
    <w:rsid w:val="00DA6A2A"/>
    <w:rsid w:val="00DB1189"/>
    <w:rsid w:val="00DF337E"/>
    <w:rsid w:val="00DF7655"/>
    <w:rsid w:val="00E23D05"/>
    <w:rsid w:val="00E313A0"/>
    <w:rsid w:val="00E72774"/>
    <w:rsid w:val="00EA78E1"/>
    <w:rsid w:val="00ED17D8"/>
    <w:rsid w:val="00F02684"/>
    <w:rsid w:val="00F11C75"/>
    <w:rsid w:val="00F21056"/>
    <w:rsid w:val="00F25F29"/>
    <w:rsid w:val="00F304D2"/>
    <w:rsid w:val="00FC70DE"/>
    <w:rsid w:val="00FD2DC0"/>
    <w:rsid w:val="00FD4604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5246210F"/>
  <w15:docId w15:val="{CC344868-256D-40DA-998E-0DD247F5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CAA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5FD7"/>
    <w:pPr>
      <w:spacing w:before="200" w:after="120"/>
      <w:outlineLvl w:val="1"/>
    </w:pPr>
    <w:rPr>
      <w:bCs w:val="0"/>
      <w:color w:val="005677"/>
      <w:sz w:val="2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A131C"/>
    <w:pPr>
      <w:spacing w:before="200" w:after="0"/>
      <w:outlineLvl w:val="2"/>
    </w:pPr>
    <w:rPr>
      <w:bCs w:val="0"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2CAA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D7"/>
    <w:rPr>
      <w:rFonts w:ascii="Arial" w:eastAsiaTheme="majorEastAsia" w:hAnsi="Arial" w:cstheme="majorBidi"/>
      <w:b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131C"/>
    <w:rPr>
      <w:rFonts w:ascii="Arial" w:eastAsiaTheme="majorEastAsia" w:hAnsi="Arial" w:cstheme="majorBidi"/>
      <w:b/>
      <w:color w:val="000000" w:themeColor="text1"/>
      <w:spacing w:val="-2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3">
    <w:name w:val="Custom 3"/>
    <w:basedOn w:val="Normal"/>
    <w:link w:val="Custom3Char"/>
    <w:qFormat/>
    <w:rsid w:val="008A394A"/>
    <w:pPr>
      <w:ind w:left="-142"/>
    </w:pPr>
    <w:rPr>
      <w:rFonts w:ascii="Georgia" w:eastAsiaTheme="minorEastAsia" w:hAnsi="Georgia"/>
      <w:color w:val="333366"/>
      <w:spacing w:val="0"/>
      <w:sz w:val="24"/>
      <w:szCs w:val="24"/>
    </w:rPr>
  </w:style>
  <w:style w:type="character" w:customStyle="1" w:styleId="Custom3Char">
    <w:name w:val="Custom 3 Char"/>
    <w:basedOn w:val="DefaultParagraphFont"/>
    <w:link w:val="Custom3"/>
    <w:rsid w:val="008A394A"/>
    <w:rPr>
      <w:rFonts w:ascii="Georgia" w:eastAsiaTheme="minorEastAsia" w:hAnsi="Georgia"/>
      <w:color w:val="333366"/>
      <w:sz w:val="24"/>
      <w:szCs w:val="24"/>
    </w:rPr>
  </w:style>
  <w:style w:type="paragraph" w:customStyle="1" w:styleId="Custom4">
    <w:name w:val="Custom 4"/>
    <w:basedOn w:val="Normal"/>
    <w:link w:val="Custom4Char"/>
    <w:qFormat/>
    <w:rsid w:val="008A394A"/>
    <w:pPr>
      <w:spacing w:after="140" w:line="280" w:lineRule="atLeast"/>
      <w:ind w:left="-142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4Char">
    <w:name w:val="Custom 4 Char"/>
    <w:basedOn w:val="DefaultParagraphFont"/>
    <w:link w:val="Custom4"/>
    <w:rsid w:val="008A394A"/>
    <w:rPr>
      <w:rFonts w:ascii="Arial" w:eastAsiaTheme="majorEastAsia" w:hAnsi="Arial" w:cstheme="majorBidi"/>
      <w:bCs/>
      <w:i/>
      <w:iCs/>
      <w:color w:val="33336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6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6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180896"/>
    <w:pPr>
      <w:spacing w:after="0" w:line="240" w:lineRule="auto"/>
    </w:pPr>
    <w:rPr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://www.environment.gov.au/topics/marine/marine-pollution/sea-dump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environment.gov.au/topics/marine/marine-pollution/sea-dumping/forms-and-application-fe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sa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majorprojectshelp.business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review round - feedback pending clearance by DoEE as at 12/04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A3PSR54DD4M5-1894031199-95</_dlc_DocId>
    <_dlc_DocIdUrl xmlns="a36bd50b-1532-4c22-b385-5c082c960938">
      <Url>https://dochub/div/officeofnorthernaustralia/businessfunctions/majorprojects/programmemgmnt/_layouts/15/DocIdRedir.aspx?ID=A3PSR54DD4M5-1894031199-95</Url>
      <Description>A3PSR54DD4M5-1894031199-95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96A1-63B8-4BD0-9148-645C2649B838}"/>
</file>

<file path=customXml/itemProps2.xml><?xml version="1.0" encoding="utf-8"?>
<ds:datastoreItem xmlns:ds="http://schemas.openxmlformats.org/officeDocument/2006/customXml" ds:itemID="{44A707F3-1B15-4173-9827-427FC3E0A27B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390482-64FD-4DFE-BA60-5E1D60D93E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1D1EF2-13E9-4566-B6FF-4669A39B3B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FDB1F-2F32-45AB-B4A6-871D64F0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Coord-310-2017-MPAA factsheet-Sea Dumping Act-DoEE comments</vt:lpstr>
    </vt:vector>
  </TitlesOfParts>
  <Company>DIISRTE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Coord-310-2017-MPAA factsheet-Sea Dumping Act-DoEE comments</dc:title>
  <dc:creator>Milanja, Jelena</dc:creator>
  <cp:lastModifiedBy>Pusceddu, Anna</cp:lastModifiedBy>
  <cp:revision>12</cp:revision>
  <cp:lastPrinted>2019-07-12T02:31:00Z</cp:lastPrinted>
  <dcterms:created xsi:type="dcterms:W3CDTF">2019-07-17T04:32:00Z</dcterms:created>
  <dcterms:modified xsi:type="dcterms:W3CDTF">2021-09-06T06:01:00Z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RecordPoint_ActiveItemUniqueId">
    <vt:lpwstr>{fb1f191e-9fdd-4b2e-9a22-ee9e45d6a52c}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{b69d1b21-62df-446d-b084-a37943bf9e77}</vt:lpwstr>
  </property>
  <property fmtid="{D5CDD505-2E9C-101B-9397-08002B2CF9AE}" pid="10" name="RecordPoint_ActiveItemListId">
    <vt:lpwstr>{a80078d2-5a86-4765-8e57-bf8c87e5737c}</vt:lpwstr>
  </property>
  <property fmtid="{D5CDD505-2E9C-101B-9397-08002B2CF9AE}" pid="11" name="RecordPoint_ActiveItemWebId">
    <vt:lpwstr>{0bcbb41d-de92-4188-b5bb-20563d978867}</vt:lpwstr>
  </property>
  <property fmtid="{D5CDD505-2E9C-101B-9397-08002B2CF9AE}" pid="12" name="RecordPoint_RecordNumberSubmitted">
    <vt:lpwstr>001667384</vt:lpwstr>
  </property>
  <property fmtid="{D5CDD505-2E9C-101B-9397-08002B2CF9AE}" pid="13" name="RecordPoint_SubmissionCompleted">
    <vt:lpwstr>2017-04-06T16:45:33.0813481+10:00</vt:lpwstr>
  </property>
  <property fmtid="{D5CDD505-2E9C-101B-9397-08002B2CF9AE}" pid="14" name="DocHub_Year">
    <vt:lpwstr>387;#2017|5f6de30b-6e1e-4c09-9e51-982258231536</vt:lpwstr>
  </property>
  <property fmtid="{D5CDD505-2E9C-101B-9397-08002B2CF9AE}" pid="15" name="DocHub_DocumentType">
    <vt:lpwstr>52;#Fact Sheet|38af007d-6d80-4dd0-9833-ef17489d7c7e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WorkActivity">
    <vt:lpwstr>7;#Communication|cd41d649-1e1a-44f5-b99b-946d42ce56d6</vt:lpwstr>
  </property>
  <property fmtid="{D5CDD505-2E9C-101B-9397-08002B2CF9AE}" pid="18" name="_dlc_DocIdItemGuid">
    <vt:lpwstr>bd56b0fe-00c6-451b-9654-e33a643b33ba</vt:lpwstr>
  </property>
  <property fmtid="{D5CDD505-2E9C-101B-9397-08002B2CF9AE}" pid="19" name="DocHub_Keywords">
    <vt:lpwstr>471;#MPAA|e3e67d11-9afd-49bc-8113-feea8f08469b</vt:lpwstr>
  </property>
  <property fmtid="{D5CDD505-2E9C-101B-9397-08002B2CF9AE}" pid="20" name="DocHub_PDMSNumber">
    <vt:lpwstr/>
  </property>
  <property fmtid="{D5CDD505-2E9C-101B-9397-08002B2CF9AE}" pid="21" name="IconOverlay">
    <vt:lpwstr/>
  </property>
</Properties>
</file>