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8BE61" w14:textId="0E6DEDA2" w:rsidR="0017496A" w:rsidRDefault="007D06F9" w:rsidP="001E6294">
      <w:pPr>
        <w:pStyle w:val="Heading1"/>
        <w:spacing w:after="240"/>
      </w:pPr>
      <w:r w:rsidRPr="008E2037">
        <w:t>SUMMARY:</w:t>
      </w:r>
      <w:r w:rsidR="00BB7812" w:rsidRPr="008E2037">
        <w:t xml:space="preserve"> </w:t>
      </w:r>
      <w:r w:rsidR="0017496A" w:rsidRPr="008E2037">
        <w:t>R&amp;D Tax Incentiv</w:t>
      </w:r>
      <w:bookmarkStart w:id="0" w:name="_GoBack"/>
      <w:bookmarkEnd w:id="0"/>
      <w:r w:rsidR="0017496A" w:rsidRPr="008E2037">
        <w:t>e Roundtable</w:t>
      </w:r>
    </w:p>
    <w:tbl>
      <w:tblPr>
        <w:tblStyle w:val="TableGrid"/>
        <w:tblW w:w="9351" w:type="dxa"/>
        <w:tblLook w:val="04A0" w:firstRow="1" w:lastRow="0" w:firstColumn="1" w:lastColumn="0" w:noHBand="0" w:noVBand="1"/>
        <w:tblCaption w:val="R&amp;DTI Roundtable Attendees &amp; Guest Speakers"/>
      </w:tblPr>
      <w:tblGrid>
        <w:gridCol w:w="1696"/>
        <w:gridCol w:w="3969"/>
        <w:gridCol w:w="1843"/>
        <w:gridCol w:w="1843"/>
      </w:tblGrid>
      <w:tr w:rsidR="008E2037" w14:paraId="4A62F35F" w14:textId="77777777" w:rsidTr="008E2037">
        <w:trPr>
          <w:tblHeader/>
        </w:trPr>
        <w:tc>
          <w:tcPr>
            <w:tcW w:w="1696" w:type="dxa"/>
            <w:shd w:val="clear" w:color="auto" w:fill="9CC2E5" w:themeFill="accent1" w:themeFillTint="99"/>
          </w:tcPr>
          <w:p w14:paraId="1E10B2E3" w14:textId="708209ED" w:rsidR="008E2037" w:rsidRPr="00944114" w:rsidRDefault="008E2037" w:rsidP="00110E3F">
            <w:pPr>
              <w:rPr>
                <w:b/>
              </w:rPr>
            </w:pPr>
            <w:r w:rsidRPr="00944114">
              <w:rPr>
                <w:b/>
                <w:sz w:val="24"/>
                <w:lang w:eastAsia="en-AU"/>
              </w:rPr>
              <w:t>Meeting</w:t>
            </w:r>
          </w:p>
        </w:tc>
        <w:tc>
          <w:tcPr>
            <w:tcW w:w="3969" w:type="dxa"/>
            <w:shd w:val="clear" w:color="auto" w:fill="9CC2E5" w:themeFill="accent1" w:themeFillTint="99"/>
          </w:tcPr>
          <w:p w14:paraId="01AB793F" w14:textId="1954BDCD" w:rsidR="008E2037" w:rsidRDefault="008E2037" w:rsidP="002E3FB5">
            <w:r w:rsidRPr="00204390">
              <w:rPr>
                <w:b/>
                <w:sz w:val="24"/>
                <w:lang w:eastAsia="en-AU"/>
              </w:rPr>
              <w:t>R&amp;D Tax Incentive Roundtable</w:t>
            </w:r>
          </w:p>
        </w:tc>
        <w:tc>
          <w:tcPr>
            <w:tcW w:w="1843" w:type="dxa"/>
            <w:shd w:val="clear" w:color="auto" w:fill="9CC2E5" w:themeFill="accent1" w:themeFillTint="99"/>
          </w:tcPr>
          <w:p w14:paraId="2A572401" w14:textId="77777777" w:rsidR="008E2037" w:rsidRPr="00944114" w:rsidRDefault="008E2037" w:rsidP="00C474CA">
            <w:pPr>
              <w:rPr>
                <w:b/>
              </w:rPr>
            </w:pPr>
          </w:p>
        </w:tc>
        <w:tc>
          <w:tcPr>
            <w:tcW w:w="1843" w:type="dxa"/>
            <w:shd w:val="clear" w:color="auto" w:fill="9CC2E5" w:themeFill="accent1" w:themeFillTint="99"/>
          </w:tcPr>
          <w:p w14:paraId="6C0D0418" w14:textId="77777777" w:rsidR="008E2037" w:rsidRPr="00944114" w:rsidRDefault="008E2037" w:rsidP="00BE643D">
            <w:pPr>
              <w:rPr>
                <w:b/>
              </w:rPr>
            </w:pPr>
          </w:p>
        </w:tc>
      </w:tr>
      <w:tr w:rsidR="0017496A" w14:paraId="57CEA067" w14:textId="77777777" w:rsidTr="008E2037">
        <w:trPr>
          <w:tblHeader/>
        </w:trPr>
        <w:tc>
          <w:tcPr>
            <w:tcW w:w="1696" w:type="dxa"/>
          </w:tcPr>
          <w:p w14:paraId="7AD23CAC" w14:textId="500A9E21" w:rsidR="0017496A" w:rsidRPr="00CA0E6F" w:rsidRDefault="0017496A" w:rsidP="00110E3F">
            <w:pPr>
              <w:rPr>
                <w:b/>
              </w:rPr>
            </w:pPr>
            <w:r w:rsidRPr="00944114">
              <w:rPr>
                <w:b/>
              </w:rPr>
              <w:t>Meeting Date</w:t>
            </w:r>
            <w:r w:rsidR="002E3FB5">
              <w:rPr>
                <w:b/>
              </w:rPr>
              <w:t>s</w:t>
            </w:r>
            <w:r w:rsidR="00EE50B0">
              <w:rPr>
                <w:b/>
              </w:rPr>
              <w:t>*</w:t>
            </w:r>
          </w:p>
        </w:tc>
        <w:tc>
          <w:tcPr>
            <w:tcW w:w="3969" w:type="dxa"/>
          </w:tcPr>
          <w:p w14:paraId="2406AB8D" w14:textId="403658C7" w:rsidR="002E3FB5" w:rsidRDefault="002E3FB5" w:rsidP="002E3FB5">
            <w:r>
              <w:t xml:space="preserve">Tuesday </w:t>
            </w:r>
            <w:r w:rsidR="00684BC7">
              <w:t>4 August</w:t>
            </w:r>
            <w:r w:rsidR="008734B5" w:rsidRPr="00944114">
              <w:t xml:space="preserve"> </w:t>
            </w:r>
            <w:r w:rsidR="00FD006B">
              <w:t>2020</w:t>
            </w:r>
          </w:p>
          <w:p w14:paraId="6E6E9DA0" w14:textId="7FF8A387" w:rsidR="0017496A" w:rsidRPr="00944114" w:rsidRDefault="002E3FB5" w:rsidP="00684BC7">
            <w:r>
              <w:t>Wednesday 5 August 2020</w:t>
            </w:r>
          </w:p>
        </w:tc>
        <w:tc>
          <w:tcPr>
            <w:tcW w:w="1843" w:type="dxa"/>
          </w:tcPr>
          <w:p w14:paraId="24A1E8CE" w14:textId="63C446DF" w:rsidR="0017496A" w:rsidRPr="00DC0D8C" w:rsidRDefault="0017496A" w:rsidP="00C474CA">
            <w:pPr>
              <w:rPr>
                <w:b/>
              </w:rPr>
            </w:pPr>
            <w:r w:rsidRPr="00944114">
              <w:rPr>
                <w:b/>
              </w:rPr>
              <w:t>Start Time</w:t>
            </w:r>
            <w:r w:rsidR="00C474CA">
              <w:t>:</w:t>
            </w:r>
            <w:r w:rsidR="00BE643D">
              <w:t xml:space="preserve"> 1330</w:t>
            </w:r>
          </w:p>
        </w:tc>
        <w:tc>
          <w:tcPr>
            <w:tcW w:w="1843" w:type="dxa"/>
          </w:tcPr>
          <w:p w14:paraId="726CED0A" w14:textId="14A8B542" w:rsidR="0017496A" w:rsidRPr="00DC0D8C" w:rsidRDefault="0017496A" w:rsidP="00BE643D">
            <w:pPr>
              <w:rPr>
                <w:b/>
              </w:rPr>
            </w:pPr>
            <w:r w:rsidRPr="00944114">
              <w:rPr>
                <w:b/>
              </w:rPr>
              <w:t>End Time</w:t>
            </w:r>
            <w:r>
              <w:t xml:space="preserve">: </w:t>
            </w:r>
            <w:r w:rsidR="00BE643D">
              <w:t>1500</w:t>
            </w:r>
          </w:p>
        </w:tc>
      </w:tr>
      <w:tr w:rsidR="0017496A" w14:paraId="1D3BFA32" w14:textId="77777777" w:rsidTr="008E2037">
        <w:trPr>
          <w:tblHeader/>
        </w:trPr>
        <w:tc>
          <w:tcPr>
            <w:tcW w:w="1696" w:type="dxa"/>
          </w:tcPr>
          <w:p w14:paraId="2CEC6E5B" w14:textId="4EB1740C" w:rsidR="0017496A" w:rsidRPr="00944114" w:rsidRDefault="0017496A" w:rsidP="00110E3F">
            <w:pPr>
              <w:rPr>
                <w:b/>
              </w:rPr>
            </w:pPr>
            <w:r w:rsidRPr="00944114">
              <w:rPr>
                <w:b/>
              </w:rPr>
              <w:t>Co-Chairs</w:t>
            </w:r>
          </w:p>
          <w:p w14:paraId="055251DC" w14:textId="77777777" w:rsidR="0017496A" w:rsidRPr="00944114" w:rsidRDefault="0017496A" w:rsidP="00110E3F">
            <w:pPr>
              <w:rPr>
                <w:b/>
              </w:rPr>
            </w:pPr>
          </w:p>
        </w:tc>
        <w:tc>
          <w:tcPr>
            <w:tcW w:w="3969" w:type="dxa"/>
          </w:tcPr>
          <w:p w14:paraId="0FDC5B8C" w14:textId="77777777" w:rsidR="002E3FB5" w:rsidRDefault="00C474CA" w:rsidP="00110E3F">
            <w:r>
              <w:t>Kelley Wiggins</w:t>
            </w:r>
          </w:p>
          <w:p w14:paraId="6B7B864D" w14:textId="000BE8FA" w:rsidR="002E3FB5" w:rsidRDefault="002E3FB5" w:rsidP="00110E3F">
            <w:r>
              <w:t xml:space="preserve">General Manager – Research and Development Tax Incentive </w:t>
            </w:r>
          </w:p>
          <w:p w14:paraId="6E17179D" w14:textId="0E653699" w:rsidR="00C474CA" w:rsidRDefault="004A0CFE" w:rsidP="00110E3F">
            <w:r w:rsidRPr="004A0CFE">
              <w:rPr>
                <w:b/>
              </w:rPr>
              <w:t>Department of Industry, Science, Energy &amp; Resources (DISER)</w:t>
            </w:r>
          </w:p>
          <w:p w14:paraId="63F57AD6" w14:textId="77777777" w:rsidR="002E3FB5" w:rsidRDefault="000478D5" w:rsidP="00110E3F">
            <w:r w:rsidRPr="000478D5">
              <w:t xml:space="preserve">Scott </w:t>
            </w:r>
            <w:proofErr w:type="spellStart"/>
            <w:r w:rsidRPr="000478D5">
              <w:t>Treatt</w:t>
            </w:r>
            <w:proofErr w:type="spellEnd"/>
            <w:r w:rsidRPr="000478D5">
              <w:t xml:space="preserve"> </w:t>
            </w:r>
          </w:p>
          <w:p w14:paraId="53435845" w14:textId="2753490D" w:rsidR="002E3FB5" w:rsidRPr="007E37D2" w:rsidRDefault="0077583E" w:rsidP="00110E3F">
            <w:r>
              <w:t xml:space="preserve">Assistant Commissioner – Private </w:t>
            </w:r>
            <w:r w:rsidR="00EE50B0">
              <w:t>W</w:t>
            </w:r>
            <w:r>
              <w:t>ealth</w:t>
            </w:r>
          </w:p>
          <w:p w14:paraId="22B227AE" w14:textId="76D58330" w:rsidR="0017496A" w:rsidRDefault="004A0CFE" w:rsidP="00110E3F">
            <w:r w:rsidRPr="004A0CFE">
              <w:rPr>
                <w:b/>
              </w:rPr>
              <w:t>Australian Taxation Office</w:t>
            </w:r>
            <w:r>
              <w:t xml:space="preserve"> </w:t>
            </w:r>
            <w:r w:rsidR="000478D5" w:rsidRPr="000478D5">
              <w:rPr>
                <w:b/>
              </w:rPr>
              <w:t>(ATO)</w:t>
            </w:r>
          </w:p>
        </w:tc>
        <w:tc>
          <w:tcPr>
            <w:tcW w:w="1843" w:type="dxa"/>
          </w:tcPr>
          <w:p w14:paraId="27A900AD" w14:textId="77777777" w:rsidR="0017496A" w:rsidRPr="00944114" w:rsidRDefault="0017496A" w:rsidP="00110E3F">
            <w:pPr>
              <w:rPr>
                <w:b/>
              </w:rPr>
            </w:pPr>
            <w:r w:rsidRPr="00944114">
              <w:rPr>
                <w:b/>
              </w:rPr>
              <w:t>Secretariat</w:t>
            </w:r>
          </w:p>
        </w:tc>
        <w:tc>
          <w:tcPr>
            <w:tcW w:w="1843" w:type="dxa"/>
          </w:tcPr>
          <w:p w14:paraId="198BA4BF" w14:textId="112220CA" w:rsidR="0017496A" w:rsidRPr="00944114" w:rsidRDefault="004A0CFE" w:rsidP="00406B68">
            <w:r w:rsidRPr="007E37D2">
              <w:t>DISER</w:t>
            </w:r>
          </w:p>
        </w:tc>
      </w:tr>
      <w:tr w:rsidR="0017496A" w14:paraId="2BCD8FF8" w14:textId="77777777" w:rsidTr="008E2037">
        <w:trPr>
          <w:tblHeader/>
        </w:trPr>
        <w:tc>
          <w:tcPr>
            <w:tcW w:w="1696" w:type="dxa"/>
          </w:tcPr>
          <w:p w14:paraId="20FA1C98" w14:textId="77777777" w:rsidR="0017496A" w:rsidRPr="00944114" w:rsidRDefault="0017496A" w:rsidP="00110E3F">
            <w:pPr>
              <w:rPr>
                <w:b/>
              </w:rPr>
            </w:pPr>
            <w:r w:rsidRPr="00944114">
              <w:rPr>
                <w:b/>
              </w:rPr>
              <w:t>Attendees</w:t>
            </w:r>
          </w:p>
        </w:tc>
        <w:tc>
          <w:tcPr>
            <w:tcW w:w="7655" w:type="dxa"/>
            <w:gridSpan w:val="3"/>
          </w:tcPr>
          <w:p w14:paraId="351BD147" w14:textId="7CDFCEDE" w:rsidR="00F52D7A" w:rsidRPr="00F1177E" w:rsidRDefault="00491002" w:rsidP="000478D5">
            <w:pPr>
              <w:rPr>
                <w:u w:val="single"/>
              </w:rPr>
            </w:pPr>
            <w:r w:rsidRPr="00F1177E">
              <w:rPr>
                <w:u w:val="single"/>
              </w:rPr>
              <w:t>Tuesday 4 August</w:t>
            </w:r>
          </w:p>
          <w:p w14:paraId="4C2F7BB2" w14:textId="74632F0E" w:rsidR="000478D5" w:rsidRPr="00F1177E" w:rsidRDefault="00F52D7A" w:rsidP="000478D5">
            <w:r w:rsidRPr="00F1177E">
              <w:rPr>
                <w:rFonts w:eastAsia="Times New Roman" w:cstheme="minorHAnsi"/>
                <w:color w:val="000000"/>
                <w:lang w:eastAsia="en-AU"/>
              </w:rPr>
              <w:t>Greg Pratt</w:t>
            </w:r>
            <w:r w:rsidRPr="00F1177E">
              <w:rPr>
                <w:b/>
              </w:rPr>
              <w:t xml:space="preserve"> </w:t>
            </w:r>
            <w:r w:rsidR="000478D5" w:rsidRPr="00F1177E">
              <w:rPr>
                <w:b/>
              </w:rPr>
              <w:t>(Deloitte)</w:t>
            </w:r>
          </w:p>
          <w:p w14:paraId="13F590E5" w14:textId="5EDC32BA" w:rsidR="000478D5" w:rsidRPr="00F1177E" w:rsidRDefault="000478D5" w:rsidP="000478D5">
            <w:pPr>
              <w:rPr>
                <w:b/>
              </w:rPr>
            </w:pPr>
            <w:r w:rsidRPr="00F1177E">
              <w:t xml:space="preserve">David Gelb </w:t>
            </w:r>
            <w:r w:rsidRPr="00F1177E">
              <w:rPr>
                <w:b/>
              </w:rPr>
              <w:t>(KPMG)</w:t>
            </w:r>
          </w:p>
          <w:p w14:paraId="06F51411" w14:textId="3724B32E" w:rsidR="005D30F1" w:rsidRPr="00F1177E" w:rsidRDefault="005D30F1" w:rsidP="005D30F1">
            <w:r w:rsidRPr="00F1177E">
              <w:t xml:space="preserve">Jessica Oliver </w:t>
            </w:r>
            <w:r w:rsidRPr="00F1177E">
              <w:rPr>
                <w:b/>
              </w:rPr>
              <w:t>(RSM Australia)</w:t>
            </w:r>
          </w:p>
          <w:p w14:paraId="4B90211B" w14:textId="77777777" w:rsidR="005D30F1" w:rsidRPr="00F1177E" w:rsidRDefault="005D30F1" w:rsidP="005D30F1">
            <w:r w:rsidRPr="00F1177E">
              <w:rPr>
                <w:rFonts w:eastAsia="Times New Roman" w:cstheme="minorHAnsi"/>
                <w:color w:val="000000"/>
                <w:lang w:eastAsia="en-AU"/>
              </w:rPr>
              <w:t>Kris Gale</w:t>
            </w:r>
            <w:r w:rsidRPr="00F1177E">
              <w:rPr>
                <w:b/>
              </w:rPr>
              <w:t xml:space="preserve"> (Michael Johnson Associates)</w:t>
            </w:r>
          </w:p>
          <w:p w14:paraId="4EC45857" w14:textId="7AFC3F29" w:rsidR="000478D5" w:rsidRPr="00F1177E" w:rsidRDefault="002B7A66" w:rsidP="000478D5">
            <w:r w:rsidRPr="00F1177E">
              <w:rPr>
                <w:rFonts w:eastAsia="Times New Roman" w:cstheme="minorHAnsi"/>
                <w:color w:val="000000"/>
                <w:lang w:eastAsia="en-AU"/>
              </w:rPr>
              <w:t>Gary Shapiro</w:t>
            </w:r>
            <w:r w:rsidRPr="00F1177E">
              <w:rPr>
                <w:b/>
              </w:rPr>
              <w:t xml:space="preserve"> </w:t>
            </w:r>
            <w:r w:rsidR="000478D5" w:rsidRPr="00F1177E">
              <w:rPr>
                <w:b/>
              </w:rPr>
              <w:t>(</w:t>
            </w:r>
            <w:proofErr w:type="spellStart"/>
            <w:r w:rsidR="000478D5" w:rsidRPr="00F1177E">
              <w:rPr>
                <w:b/>
              </w:rPr>
              <w:t>Rimon</w:t>
            </w:r>
            <w:proofErr w:type="spellEnd"/>
            <w:r w:rsidR="000478D5" w:rsidRPr="00F1177E">
              <w:rPr>
                <w:b/>
              </w:rPr>
              <w:t xml:space="preserve"> Advisory)</w:t>
            </w:r>
          </w:p>
          <w:p w14:paraId="30B4D4E0" w14:textId="49531904" w:rsidR="000478D5" w:rsidRPr="00F1177E" w:rsidRDefault="000478D5" w:rsidP="000478D5">
            <w:pPr>
              <w:rPr>
                <w:b/>
              </w:rPr>
            </w:pPr>
            <w:r w:rsidRPr="00F1177E">
              <w:t xml:space="preserve">Paul McMullan </w:t>
            </w:r>
            <w:r w:rsidRPr="00F1177E">
              <w:rPr>
                <w:b/>
              </w:rPr>
              <w:t>(Compliance Group)</w:t>
            </w:r>
          </w:p>
          <w:p w14:paraId="24577463" w14:textId="52F7F67F" w:rsidR="000478D5" w:rsidRPr="00F1177E" w:rsidRDefault="000478D5" w:rsidP="000478D5">
            <w:pPr>
              <w:rPr>
                <w:b/>
              </w:rPr>
            </w:pPr>
            <w:r w:rsidRPr="00F1177E">
              <w:t xml:space="preserve">Robert </w:t>
            </w:r>
            <w:proofErr w:type="spellStart"/>
            <w:r w:rsidRPr="00F1177E">
              <w:t>Krigsman</w:t>
            </w:r>
            <w:proofErr w:type="spellEnd"/>
            <w:r w:rsidRPr="00F1177E">
              <w:t xml:space="preserve"> </w:t>
            </w:r>
            <w:r w:rsidRPr="00F1177E">
              <w:rPr>
                <w:b/>
              </w:rPr>
              <w:t>(</w:t>
            </w:r>
            <w:proofErr w:type="spellStart"/>
            <w:r w:rsidRPr="00F1177E">
              <w:rPr>
                <w:b/>
              </w:rPr>
              <w:t>Krigsman</w:t>
            </w:r>
            <w:proofErr w:type="spellEnd"/>
            <w:r w:rsidRPr="00F1177E">
              <w:rPr>
                <w:b/>
              </w:rPr>
              <w:t xml:space="preserve"> Partners)</w:t>
            </w:r>
          </w:p>
          <w:p w14:paraId="1ABF1347" w14:textId="77777777" w:rsidR="003F0958" w:rsidRPr="00F1177E" w:rsidRDefault="003F0958" w:rsidP="003F0958">
            <w:pPr>
              <w:rPr>
                <w:b/>
              </w:rPr>
            </w:pPr>
            <w:r w:rsidRPr="00F1177E">
              <w:t>Sue Williamson (</w:t>
            </w:r>
            <w:r w:rsidRPr="00F1177E">
              <w:rPr>
                <w:b/>
              </w:rPr>
              <w:t>Law Council of Australia)</w:t>
            </w:r>
          </w:p>
          <w:p w14:paraId="1EB2E812" w14:textId="455977FB" w:rsidR="003F0958" w:rsidRPr="00F1177E" w:rsidRDefault="003F0958" w:rsidP="000478D5">
            <w:r w:rsidRPr="00F1177E">
              <w:rPr>
                <w:rFonts w:eastAsia="Times New Roman" w:cstheme="minorHAnsi"/>
                <w:color w:val="000000"/>
                <w:lang w:eastAsia="en-AU"/>
              </w:rPr>
              <w:t xml:space="preserve">Paul </w:t>
            </w:r>
            <w:proofErr w:type="spellStart"/>
            <w:r w:rsidRPr="00F1177E">
              <w:rPr>
                <w:rFonts w:eastAsia="Times New Roman" w:cstheme="minorHAnsi"/>
                <w:color w:val="000000"/>
                <w:lang w:eastAsia="en-AU"/>
              </w:rPr>
              <w:t>McCartin</w:t>
            </w:r>
            <w:proofErr w:type="spellEnd"/>
            <w:r w:rsidRPr="00F1177E">
              <w:rPr>
                <w:rFonts w:eastAsia="Times New Roman" w:cstheme="minorHAnsi"/>
                <w:color w:val="000000"/>
                <w:lang w:eastAsia="en-AU"/>
              </w:rPr>
              <w:t xml:space="preserve"> </w:t>
            </w:r>
            <w:r w:rsidRPr="00F1177E">
              <w:rPr>
                <w:rFonts w:eastAsia="Times New Roman" w:cstheme="minorHAnsi"/>
                <w:b/>
                <w:color w:val="000000"/>
                <w:lang w:eastAsia="en-AU"/>
              </w:rPr>
              <w:t>(The Tax Institute)</w:t>
            </w:r>
          </w:p>
          <w:p w14:paraId="19463D49" w14:textId="364568E5" w:rsidR="003F0958" w:rsidRPr="00F1177E" w:rsidRDefault="003F0958" w:rsidP="000478D5">
            <w:r w:rsidRPr="00F1177E">
              <w:rPr>
                <w:rFonts w:eastAsia="Times New Roman" w:cstheme="minorHAnsi"/>
                <w:color w:val="000000"/>
                <w:lang w:eastAsia="en-AU"/>
              </w:rPr>
              <w:t xml:space="preserve">Peter </w:t>
            </w:r>
            <w:proofErr w:type="spellStart"/>
            <w:r w:rsidRPr="00F1177E">
              <w:rPr>
                <w:rFonts w:eastAsia="Times New Roman" w:cstheme="minorHAnsi"/>
                <w:color w:val="000000"/>
                <w:lang w:eastAsia="en-AU"/>
              </w:rPr>
              <w:t>Komocki</w:t>
            </w:r>
            <w:proofErr w:type="spellEnd"/>
            <w:r w:rsidRPr="00F1177E">
              <w:rPr>
                <w:rFonts w:eastAsia="Times New Roman" w:cstheme="minorHAnsi"/>
                <w:color w:val="000000"/>
                <w:lang w:eastAsia="en-AU"/>
              </w:rPr>
              <w:t xml:space="preserve"> </w:t>
            </w:r>
            <w:r w:rsidRPr="00F1177E">
              <w:rPr>
                <w:rFonts w:eastAsia="Times New Roman" w:cstheme="minorHAnsi"/>
                <w:b/>
                <w:color w:val="000000"/>
                <w:lang w:eastAsia="en-AU"/>
              </w:rPr>
              <w:t>(Medicines Australia)</w:t>
            </w:r>
          </w:p>
          <w:p w14:paraId="589A6A50" w14:textId="6999292E" w:rsidR="003F0958" w:rsidRPr="00F1177E" w:rsidRDefault="00491002" w:rsidP="000478D5">
            <w:pPr>
              <w:rPr>
                <w:rFonts w:eastAsia="Times New Roman" w:cstheme="minorHAnsi"/>
                <w:b/>
                <w:color w:val="000000"/>
                <w:lang w:eastAsia="en-AU"/>
              </w:rPr>
            </w:pPr>
            <w:r w:rsidRPr="00F1177E">
              <w:rPr>
                <w:rFonts w:eastAsia="Times New Roman" w:cstheme="minorHAnsi"/>
                <w:color w:val="000000"/>
                <w:lang w:eastAsia="en-AU"/>
              </w:rPr>
              <w:t xml:space="preserve">Dr </w:t>
            </w:r>
            <w:proofErr w:type="spellStart"/>
            <w:r w:rsidRPr="00F1177E">
              <w:rPr>
                <w:rFonts w:eastAsia="Times New Roman" w:cstheme="minorHAnsi"/>
                <w:color w:val="000000"/>
                <w:lang w:eastAsia="en-AU"/>
              </w:rPr>
              <w:t>Krsiztian</w:t>
            </w:r>
            <w:proofErr w:type="spellEnd"/>
            <w:r w:rsidRPr="00F1177E">
              <w:rPr>
                <w:rFonts w:eastAsia="Times New Roman" w:cstheme="minorHAnsi"/>
                <w:color w:val="000000"/>
                <w:lang w:eastAsia="en-AU"/>
              </w:rPr>
              <w:t xml:space="preserve"> </w:t>
            </w:r>
            <w:proofErr w:type="spellStart"/>
            <w:r w:rsidRPr="00F1177E">
              <w:rPr>
                <w:rFonts w:eastAsia="Times New Roman" w:cstheme="minorHAnsi"/>
                <w:color w:val="000000"/>
                <w:lang w:eastAsia="en-AU"/>
              </w:rPr>
              <w:t>Baranyai</w:t>
            </w:r>
            <w:proofErr w:type="spellEnd"/>
            <w:r w:rsidR="00362DAD" w:rsidRPr="00F1177E">
              <w:rPr>
                <w:rFonts w:eastAsia="Times New Roman" w:cstheme="minorHAnsi"/>
                <w:color w:val="000000"/>
                <w:lang w:eastAsia="en-AU"/>
              </w:rPr>
              <w:t xml:space="preserve"> </w:t>
            </w:r>
            <w:r w:rsidR="00362DAD" w:rsidRPr="00F1177E">
              <w:rPr>
                <w:rFonts w:eastAsia="Times New Roman" w:cstheme="minorHAnsi"/>
                <w:b/>
                <w:color w:val="000000"/>
                <w:lang w:eastAsia="en-AU"/>
              </w:rPr>
              <w:t>(</w:t>
            </w:r>
            <w:r w:rsidRPr="00F1177E">
              <w:rPr>
                <w:rFonts w:eastAsia="Times New Roman" w:cstheme="minorHAnsi"/>
                <w:b/>
                <w:color w:val="000000"/>
                <w:lang w:eastAsia="en-AU"/>
              </w:rPr>
              <w:t>Universities Australia</w:t>
            </w:r>
            <w:r w:rsidR="00362DAD" w:rsidRPr="00F1177E">
              <w:rPr>
                <w:rFonts w:eastAsia="Times New Roman" w:cstheme="minorHAnsi"/>
                <w:b/>
                <w:color w:val="000000"/>
                <w:lang w:eastAsia="en-AU"/>
              </w:rPr>
              <w:t>)</w:t>
            </w:r>
          </w:p>
          <w:p w14:paraId="1CC72B6C" w14:textId="4970BE32" w:rsidR="00491002" w:rsidRPr="00F1177E" w:rsidRDefault="00491002" w:rsidP="000478D5">
            <w:pPr>
              <w:rPr>
                <w:rFonts w:eastAsia="Times New Roman" w:cstheme="minorHAnsi"/>
                <w:color w:val="000000"/>
                <w:lang w:eastAsia="en-AU"/>
              </w:rPr>
            </w:pPr>
            <w:r w:rsidRPr="00F1177E">
              <w:rPr>
                <w:rFonts w:eastAsia="Times New Roman" w:cstheme="minorHAnsi"/>
                <w:color w:val="000000"/>
                <w:lang w:eastAsia="en-AU"/>
              </w:rPr>
              <w:t xml:space="preserve">Cheryl </w:t>
            </w:r>
            <w:proofErr w:type="spellStart"/>
            <w:r w:rsidRPr="00F1177E">
              <w:rPr>
                <w:rFonts w:eastAsia="Times New Roman" w:cstheme="minorHAnsi"/>
                <w:color w:val="000000"/>
                <w:lang w:eastAsia="en-AU"/>
              </w:rPr>
              <w:t>Kut</w:t>
            </w:r>
            <w:proofErr w:type="spellEnd"/>
            <w:r w:rsidRPr="00F1177E">
              <w:rPr>
                <w:rFonts w:eastAsia="Times New Roman" w:cstheme="minorHAnsi"/>
                <w:color w:val="000000"/>
                <w:lang w:eastAsia="en-AU"/>
              </w:rPr>
              <w:t xml:space="preserve">  </w:t>
            </w:r>
            <w:r w:rsidR="00362DAD" w:rsidRPr="00F1177E">
              <w:rPr>
                <w:rFonts w:eastAsia="Times New Roman" w:cstheme="minorHAnsi"/>
                <w:b/>
                <w:color w:val="000000"/>
                <w:lang w:eastAsia="en-AU"/>
              </w:rPr>
              <w:t>(</w:t>
            </w:r>
            <w:r w:rsidRPr="00F1177E">
              <w:rPr>
                <w:rFonts w:eastAsia="Times New Roman" w:cstheme="minorHAnsi"/>
                <w:b/>
                <w:color w:val="000000"/>
                <w:lang w:eastAsia="en-AU"/>
              </w:rPr>
              <w:t>Group of Eight (Go8)</w:t>
            </w:r>
            <w:r w:rsidR="00362DAD" w:rsidRPr="00F1177E">
              <w:rPr>
                <w:rFonts w:eastAsia="Times New Roman" w:cstheme="minorHAnsi"/>
                <w:b/>
                <w:color w:val="000000"/>
                <w:lang w:eastAsia="en-AU"/>
              </w:rPr>
              <w:t>)</w:t>
            </w:r>
          </w:p>
          <w:p w14:paraId="1AD7F7E8" w14:textId="77777777" w:rsidR="00491002" w:rsidRPr="00F1177E" w:rsidRDefault="00491002" w:rsidP="000478D5">
            <w:pPr>
              <w:rPr>
                <w:rFonts w:eastAsia="Times New Roman" w:cstheme="minorHAnsi"/>
                <w:color w:val="000000"/>
                <w:lang w:eastAsia="en-AU"/>
              </w:rPr>
            </w:pPr>
          </w:p>
          <w:p w14:paraId="0C91022D" w14:textId="13FD00E2" w:rsidR="00491002" w:rsidRPr="00F1177E" w:rsidRDefault="00491002" w:rsidP="000478D5">
            <w:pPr>
              <w:rPr>
                <w:u w:val="single"/>
              </w:rPr>
            </w:pPr>
            <w:r w:rsidRPr="00F1177E">
              <w:rPr>
                <w:u w:val="single"/>
              </w:rPr>
              <w:t>Wednesday 5 August</w:t>
            </w:r>
          </w:p>
          <w:p w14:paraId="21F1D664" w14:textId="629F96CC" w:rsidR="00F1177E" w:rsidRPr="00F1177E" w:rsidRDefault="00F1177E" w:rsidP="00F1177E">
            <w:pPr>
              <w:rPr>
                <w:b/>
              </w:rPr>
            </w:pPr>
            <w:r w:rsidRPr="00F1177E">
              <w:rPr>
                <w:rFonts w:ascii="Calibri" w:eastAsia="Times New Roman" w:hAnsi="Calibri" w:cs="Calibri"/>
                <w:color w:val="000000"/>
                <w:lang w:eastAsia="en-AU"/>
              </w:rPr>
              <w:t xml:space="preserve">Jamie </w:t>
            </w:r>
            <w:proofErr w:type="spellStart"/>
            <w:r w:rsidRPr="00F1177E">
              <w:rPr>
                <w:rFonts w:ascii="Calibri" w:eastAsia="Times New Roman" w:hAnsi="Calibri" w:cs="Calibri"/>
                <w:color w:val="000000"/>
                <w:lang w:eastAsia="en-AU"/>
              </w:rPr>
              <w:t>Munday</w:t>
            </w:r>
            <w:proofErr w:type="spellEnd"/>
            <w:r w:rsidRPr="00F1177E">
              <w:rPr>
                <w:rFonts w:ascii="Calibri" w:eastAsia="Times New Roman" w:hAnsi="Calibri" w:cs="Calibri"/>
                <w:color w:val="000000"/>
                <w:lang w:eastAsia="en-AU"/>
              </w:rPr>
              <w:t xml:space="preserve"> </w:t>
            </w:r>
            <w:r w:rsidRPr="00F1177E">
              <w:rPr>
                <w:rFonts w:ascii="Calibri" w:eastAsia="Times New Roman" w:hAnsi="Calibri" w:cs="Calibri"/>
                <w:b/>
                <w:color w:val="000000"/>
                <w:lang w:eastAsia="en-AU"/>
              </w:rPr>
              <w:t>(EY)</w:t>
            </w:r>
          </w:p>
          <w:p w14:paraId="3255F2F5" w14:textId="085A8CD2" w:rsidR="00F1177E" w:rsidRPr="00F1177E" w:rsidRDefault="00F1177E" w:rsidP="000478D5">
            <w:r w:rsidRPr="00F1177E">
              <w:rPr>
                <w:rFonts w:ascii="Calibri" w:eastAsia="Times New Roman" w:hAnsi="Calibri" w:cs="Calibri"/>
                <w:color w:val="000000"/>
                <w:lang w:eastAsia="en-AU"/>
              </w:rPr>
              <w:t xml:space="preserve">Richard Gregg </w:t>
            </w:r>
            <w:r w:rsidRPr="00F1177E">
              <w:rPr>
                <w:rFonts w:ascii="Calibri" w:eastAsia="Times New Roman" w:hAnsi="Calibri" w:cs="Calibri"/>
                <w:b/>
                <w:color w:val="000000"/>
                <w:lang w:eastAsia="en-AU"/>
              </w:rPr>
              <w:t>(PwC)</w:t>
            </w:r>
          </w:p>
          <w:p w14:paraId="144B8531" w14:textId="77777777" w:rsidR="00F52D7A" w:rsidRPr="00F1177E" w:rsidRDefault="00F1177E" w:rsidP="00F1177E">
            <w:pPr>
              <w:rPr>
                <w:rFonts w:ascii="Calibri" w:eastAsia="Times New Roman" w:hAnsi="Calibri" w:cs="Calibri"/>
                <w:color w:val="000000"/>
                <w:lang w:eastAsia="en-AU"/>
              </w:rPr>
            </w:pPr>
            <w:r w:rsidRPr="00F1177E">
              <w:rPr>
                <w:rFonts w:ascii="Calibri" w:eastAsia="Times New Roman" w:hAnsi="Calibri" w:cs="Calibri"/>
                <w:color w:val="000000"/>
                <w:lang w:eastAsia="en-AU"/>
              </w:rPr>
              <w:t xml:space="preserve">Damian Smyth </w:t>
            </w:r>
            <w:r w:rsidRPr="00F1177E">
              <w:rPr>
                <w:rFonts w:ascii="Calibri" w:eastAsia="Times New Roman" w:hAnsi="Calibri" w:cs="Calibri"/>
                <w:b/>
                <w:color w:val="000000"/>
                <w:lang w:eastAsia="en-AU"/>
              </w:rPr>
              <w:t>(Swanson Reed)</w:t>
            </w:r>
          </w:p>
          <w:p w14:paraId="4E056CB6" w14:textId="0022AC77" w:rsidR="00F1177E" w:rsidRPr="00F1177E" w:rsidRDefault="00F1177E" w:rsidP="00F1177E">
            <w:pPr>
              <w:rPr>
                <w:rFonts w:ascii="Calibri" w:eastAsia="Times New Roman" w:hAnsi="Calibri" w:cs="Calibri"/>
                <w:b/>
                <w:color w:val="000000"/>
                <w:lang w:eastAsia="en-AU"/>
              </w:rPr>
            </w:pPr>
            <w:r w:rsidRPr="00F1177E">
              <w:rPr>
                <w:rFonts w:ascii="Calibri" w:eastAsia="Times New Roman" w:hAnsi="Calibri" w:cs="Calibri"/>
                <w:color w:val="000000"/>
                <w:lang w:eastAsia="en-AU"/>
              </w:rPr>
              <w:t xml:space="preserve">Donna </w:t>
            </w:r>
            <w:proofErr w:type="spellStart"/>
            <w:r w:rsidRPr="00F1177E">
              <w:rPr>
                <w:rFonts w:ascii="Calibri" w:eastAsia="Times New Roman" w:hAnsi="Calibri" w:cs="Calibri"/>
                <w:color w:val="000000"/>
                <w:lang w:eastAsia="en-AU"/>
              </w:rPr>
              <w:t>Bagnall</w:t>
            </w:r>
            <w:proofErr w:type="spellEnd"/>
            <w:r w:rsidRPr="00F1177E">
              <w:rPr>
                <w:rFonts w:ascii="Calibri" w:eastAsia="Times New Roman" w:hAnsi="Calibri" w:cs="Calibri"/>
                <w:color w:val="000000"/>
                <w:lang w:eastAsia="en-AU"/>
              </w:rPr>
              <w:t xml:space="preserve"> </w:t>
            </w:r>
            <w:r w:rsidRPr="00F1177E">
              <w:rPr>
                <w:rFonts w:ascii="Calibri" w:eastAsia="Times New Roman" w:hAnsi="Calibri" w:cs="Calibri"/>
                <w:b/>
                <w:color w:val="000000"/>
                <w:lang w:eastAsia="en-AU"/>
              </w:rPr>
              <w:t>(Chartered Accountants Australia and New Zealand)</w:t>
            </w:r>
          </w:p>
          <w:p w14:paraId="2210C4A6" w14:textId="77777777" w:rsidR="00F1177E" w:rsidRPr="00F1177E" w:rsidRDefault="00F1177E" w:rsidP="00F1177E">
            <w:pPr>
              <w:rPr>
                <w:b/>
              </w:rPr>
            </w:pPr>
            <w:r w:rsidRPr="00F1177E">
              <w:t xml:space="preserve">Ron </w:t>
            </w:r>
            <w:proofErr w:type="spellStart"/>
            <w:r w:rsidRPr="00F1177E">
              <w:t>Gauci</w:t>
            </w:r>
            <w:proofErr w:type="spellEnd"/>
            <w:r w:rsidRPr="00F1177E">
              <w:t xml:space="preserve"> </w:t>
            </w:r>
            <w:r w:rsidRPr="00F1177E">
              <w:rPr>
                <w:b/>
              </w:rPr>
              <w:t xml:space="preserve">(Australian Information Industry Association) </w:t>
            </w:r>
          </w:p>
          <w:p w14:paraId="5B91B6E7" w14:textId="7B40FB5B" w:rsidR="00F1177E" w:rsidRPr="00F1177E" w:rsidRDefault="00F1177E" w:rsidP="00F1177E">
            <w:pPr>
              <w:rPr>
                <w:rFonts w:ascii="Calibri" w:eastAsia="Times New Roman" w:hAnsi="Calibri" w:cs="Calibri"/>
                <w:color w:val="000000"/>
                <w:lang w:eastAsia="en-AU"/>
              </w:rPr>
            </w:pPr>
            <w:r w:rsidRPr="00F1177E">
              <w:rPr>
                <w:rFonts w:ascii="Calibri" w:eastAsia="Times New Roman" w:hAnsi="Calibri" w:cs="Calibri"/>
                <w:color w:val="000000"/>
                <w:lang w:eastAsia="en-AU"/>
              </w:rPr>
              <w:t xml:space="preserve">Rebecca </w:t>
            </w:r>
            <w:proofErr w:type="spellStart"/>
            <w:r w:rsidRPr="00F1177E">
              <w:rPr>
                <w:rFonts w:ascii="Calibri" w:eastAsia="Times New Roman" w:hAnsi="Calibri" w:cs="Calibri"/>
                <w:color w:val="000000"/>
                <w:lang w:eastAsia="en-AU"/>
              </w:rPr>
              <w:t>Schot</w:t>
            </w:r>
            <w:proofErr w:type="spellEnd"/>
            <w:r w:rsidRPr="00F1177E">
              <w:rPr>
                <w:rFonts w:ascii="Calibri" w:eastAsia="Times New Roman" w:hAnsi="Calibri" w:cs="Calibri"/>
                <w:color w:val="000000"/>
                <w:lang w:eastAsia="en-AU"/>
              </w:rPr>
              <w:t xml:space="preserve">-Guppy </w:t>
            </w:r>
            <w:r w:rsidRPr="00F1177E">
              <w:rPr>
                <w:rFonts w:ascii="Calibri" w:eastAsia="Times New Roman" w:hAnsi="Calibri" w:cs="Calibri"/>
                <w:b/>
                <w:color w:val="000000"/>
                <w:lang w:eastAsia="en-AU"/>
              </w:rPr>
              <w:t>(</w:t>
            </w:r>
            <w:proofErr w:type="spellStart"/>
            <w:r w:rsidRPr="00F1177E">
              <w:rPr>
                <w:rFonts w:ascii="Calibri" w:eastAsia="Times New Roman" w:hAnsi="Calibri" w:cs="Calibri"/>
                <w:b/>
                <w:color w:val="000000"/>
                <w:lang w:eastAsia="en-AU"/>
              </w:rPr>
              <w:t>FinTech</w:t>
            </w:r>
            <w:proofErr w:type="spellEnd"/>
            <w:r w:rsidRPr="00F1177E">
              <w:rPr>
                <w:rFonts w:ascii="Calibri" w:eastAsia="Times New Roman" w:hAnsi="Calibri" w:cs="Calibri"/>
                <w:b/>
                <w:color w:val="000000"/>
                <w:lang w:eastAsia="en-AU"/>
              </w:rPr>
              <w:t xml:space="preserve"> Australia)</w:t>
            </w:r>
          </w:p>
          <w:p w14:paraId="5B1747A4" w14:textId="77777777" w:rsidR="00F1177E" w:rsidRPr="00F1177E" w:rsidRDefault="00F1177E" w:rsidP="00F1177E">
            <w:pPr>
              <w:rPr>
                <w:rFonts w:ascii="Calibri" w:eastAsia="Times New Roman" w:hAnsi="Calibri" w:cs="Calibri"/>
                <w:color w:val="000000"/>
                <w:lang w:eastAsia="en-AU"/>
              </w:rPr>
            </w:pPr>
            <w:r w:rsidRPr="00F1177E">
              <w:rPr>
                <w:rFonts w:ascii="Calibri" w:eastAsia="Times New Roman" w:hAnsi="Calibri" w:cs="Calibri"/>
                <w:color w:val="000000"/>
                <w:lang w:eastAsia="en-AU"/>
              </w:rPr>
              <w:t xml:space="preserve">Emma Westaway </w:t>
            </w:r>
            <w:r w:rsidRPr="00F1177E">
              <w:rPr>
                <w:rFonts w:ascii="Calibri" w:eastAsia="Times New Roman" w:hAnsi="Calibri" w:cs="Calibri"/>
                <w:b/>
                <w:color w:val="000000"/>
                <w:lang w:eastAsia="en-AU"/>
              </w:rPr>
              <w:t>(Boeing)</w:t>
            </w:r>
          </w:p>
          <w:p w14:paraId="10834384" w14:textId="676711AF" w:rsidR="00F1177E" w:rsidRPr="00F1177E" w:rsidRDefault="00F1177E" w:rsidP="00F1177E">
            <w:pPr>
              <w:rPr>
                <w:rFonts w:ascii="Calibri" w:eastAsia="Times New Roman" w:hAnsi="Calibri" w:cs="Calibri"/>
                <w:color w:val="000000"/>
                <w:lang w:eastAsia="en-AU"/>
              </w:rPr>
            </w:pPr>
            <w:r w:rsidRPr="00F1177E">
              <w:rPr>
                <w:rFonts w:ascii="Calibri" w:eastAsia="Times New Roman" w:hAnsi="Calibri" w:cs="Calibri"/>
                <w:color w:val="000000"/>
                <w:lang w:eastAsia="en-AU"/>
              </w:rPr>
              <w:t xml:space="preserve">Anna Schulze </w:t>
            </w:r>
            <w:r w:rsidRPr="00F1177E">
              <w:rPr>
                <w:rFonts w:ascii="Calibri" w:eastAsia="Times New Roman" w:hAnsi="Calibri" w:cs="Calibri"/>
                <w:b/>
                <w:color w:val="000000"/>
                <w:lang w:eastAsia="en-AU"/>
              </w:rPr>
              <w:t>(CSL)</w:t>
            </w:r>
          </w:p>
          <w:p w14:paraId="07DC8550" w14:textId="0964EE34" w:rsidR="009C24D1" w:rsidRPr="009C24D1" w:rsidRDefault="009C24D1" w:rsidP="009C24D1">
            <w:pPr>
              <w:rPr>
                <w:rFonts w:ascii="Calibri" w:eastAsia="Times New Roman" w:hAnsi="Calibri" w:cs="Calibri"/>
                <w:color w:val="000000"/>
                <w:lang w:eastAsia="en-AU"/>
              </w:rPr>
            </w:pPr>
            <w:r w:rsidRPr="009C24D1">
              <w:t xml:space="preserve">Nicola Purser </w:t>
            </w:r>
            <w:r w:rsidRPr="009C24D1">
              <w:rPr>
                <w:b/>
              </w:rPr>
              <w:t>(BDO)</w:t>
            </w:r>
          </w:p>
          <w:p w14:paraId="7FD8CAE8" w14:textId="6EDA6784" w:rsidR="009C24D1" w:rsidRPr="009C24D1" w:rsidRDefault="009C24D1" w:rsidP="00F1177E">
            <w:proofErr w:type="spellStart"/>
            <w:r w:rsidRPr="009C24D1">
              <w:rPr>
                <w:rFonts w:ascii="Calibri" w:eastAsia="Times New Roman" w:hAnsi="Calibri" w:cs="Calibri"/>
                <w:color w:val="000000"/>
                <w:lang w:eastAsia="en-AU"/>
              </w:rPr>
              <w:t>Alix</w:t>
            </w:r>
            <w:proofErr w:type="spellEnd"/>
            <w:r w:rsidRPr="009C24D1">
              <w:rPr>
                <w:rFonts w:ascii="Calibri" w:eastAsia="Times New Roman" w:hAnsi="Calibri" w:cs="Calibri"/>
                <w:color w:val="000000"/>
                <w:lang w:eastAsia="en-AU"/>
              </w:rPr>
              <w:t xml:space="preserve"> </w:t>
            </w:r>
            <w:proofErr w:type="spellStart"/>
            <w:r w:rsidRPr="009C24D1">
              <w:rPr>
                <w:rFonts w:ascii="Calibri" w:eastAsia="Times New Roman" w:hAnsi="Calibri" w:cs="Calibri"/>
                <w:color w:val="000000"/>
                <w:lang w:eastAsia="en-AU"/>
              </w:rPr>
              <w:t>Ziebell</w:t>
            </w:r>
            <w:proofErr w:type="spellEnd"/>
            <w:r w:rsidRPr="009C24D1">
              <w:rPr>
                <w:rFonts w:ascii="Calibri" w:eastAsia="Times New Roman" w:hAnsi="Calibri" w:cs="Calibri"/>
                <w:color w:val="000000"/>
                <w:lang w:eastAsia="en-AU"/>
              </w:rPr>
              <w:t xml:space="preserve"> (Academy of Technological Sciences and Engineering </w:t>
            </w:r>
            <w:r w:rsidRPr="009C24D1">
              <w:rPr>
                <w:rFonts w:ascii="Calibri" w:eastAsia="Times New Roman" w:hAnsi="Calibri" w:cs="Calibri"/>
                <w:b/>
                <w:color w:val="000000"/>
                <w:lang w:eastAsia="en-AU"/>
              </w:rPr>
              <w:t>(ATSE)</w:t>
            </w:r>
            <w:r w:rsidRPr="009C24D1">
              <w:rPr>
                <w:rFonts w:ascii="Calibri" w:eastAsia="Times New Roman" w:hAnsi="Calibri" w:cs="Calibri"/>
                <w:color w:val="000000"/>
                <w:lang w:eastAsia="en-AU"/>
              </w:rPr>
              <w:t>)</w:t>
            </w:r>
          </w:p>
          <w:p w14:paraId="1C7ABDBC" w14:textId="7E349F00" w:rsidR="00F1177E" w:rsidRPr="00F1177E" w:rsidRDefault="00F1177E" w:rsidP="00BB7812"/>
        </w:tc>
      </w:tr>
      <w:tr w:rsidR="0017496A" w14:paraId="1D3965C6" w14:textId="77777777" w:rsidTr="008E2037">
        <w:tc>
          <w:tcPr>
            <w:tcW w:w="1696" w:type="dxa"/>
          </w:tcPr>
          <w:p w14:paraId="0818D931" w14:textId="1390914B" w:rsidR="0017496A" w:rsidRPr="00944114" w:rsidRDefault="0017496A" w:rsidP="00110E3F">
            <w:pPr>
              <w:rPr>
                <w:b/>
              </w:rPr>
            </w:pPr>
            <w:r w:rsidRPr="00944114">
              <w:rPr>
                <w:b/>
              </w:rPr>
              <w:t>Apologies</w:t>
            </w:r>
          </w:p>
        </w:tc>
        <w:tc>
          <w:tcPr>
            <w:tcW w:w="7655" w:type="dxa"/>
            <w:gridSpan w:val="3"/>
          </w:tcPr>
          <w:p w14:paraId="7AECC542" w14:textId="016FF393" w:rsidR="005D043C" w:rsidRDefault="005D043C" w:rsidP="005D043C">
            <w:r>
              <w:t xml:space="preserve">Alex McCauley </w:t>
            </w:r>
            <w:r w:rsidRPr="000478D5">
              <w:rPr>
                <w:b/>
              </w:rPr>
              <w:t>(</w:t>
            </w:r>
            <w:proofErr w:type="spellStart"/>
            <w:r w:rsidRPr="000478D5">
              <w:rPr>
                <w:b/>
              </w:rPr>
              <w:t>StartupAus</w:t>
            </w:r>
            <w:proofErr w:type="spellEnd"/>
            <w:r w:rsidRPr="000478D5">
              <w:rPr>
                <w:b/>
              </w:rPr>
              <w:t>)</w:t>
            </w:r>
          </w:p>
          <w:p w14:paraId="03DBAAF0" w14:textId="3E4CD27D" w:rsidR="00F1177E" w:rsidRDefault="0001075E" w:rsidP="0001075E">
            <w:r>
              <w:t xml:space="preserve">Lisa Walters </w:t>
            </w:r>
            <w:r w:rsidRPr="0001075E">
              <w:rPr>
                <w:b/>
              </w:rPr>
              <w:t>(</w:t>
            </w:r>
            <w:r w:rsidR="00CC3887" w:rsidRPr="0001075E">
              <w:rPr>
                <w:b/>
              </w:rPr>
              <w:t>Manufacturing Australia</w:t>
            </w:r>
            <w:r w:rsidRPr="0001075E">
              <w:rPr>
                <w:b/>
              </w:rPr>
              <w:t>)</w:t>
            </w:r>
            <w:r w:rsidR="00CC3887">
              <w:t xml:space="preserve"> </w:t>
            </w:r>
          </w:p>
        </w:tc>
      </w:tr>
      <w:tr w:rsidR="0017496A" w14:paraId="1DE25845" w14:textId="77777777" w:rsidTr="008E2037">
        <w:tc>
          <w:tcPr>
            <w:tcW w:w="1696" w:type="dxa"/>
          </w:tcPr>
          <w:p w14:paraId="3E021354" w14:textId="0012F366" w:rsidR="009C24D1" w:rsidRDefault="0017496A" w:rsidP="00110E3F">
            <w:pPr>
              <w:rPr>
                <w:b/>
              </w:rPr>
            </w:pPr>
            <w:r w:rsidRPr="00944114">
              <w:rPr>
                <w:b/>
              </w:rPr>
              <w:t>Guest Speakers</w:t>
            </w:r>
          </w:p>
          <w:p w14:paraId="72102D80" w14:textId="77777777" w:rsidR="0017496A" w:rsidRPr="008676E2" w:rsidRDefault="0017496A" w:rsidP="008676E2">
            <w:pPr>
              <w:jc w:val="center"/>
            </w:pPr>
          </w:p>
        </w:tc>
        <w:tc>
          <w:tcPr>
            <w:tcW w:w="7655" w:type="dxa"/>
            <w:gridSpan w:val="3"/>
          </w:tcPr>
          <w:p w14:paraId="38E6E675" w14:textId="77777777" w:rsidR="00F52D7A" w:rsidRDefault="00F52D7A" w:rsidP="00110E3F">
            <w:pPr>
              <w:rPr>
                <w:b/>
              </w:rPr>
            </w:pPr>
            <w:r>
              <w:t xml:space="preserve">Wayne Calder </w:t>
            </w:r>
            <w:r w:rsidRPr="00C474CA">
              <w:rPr>
                <w:b/>
              </w:rPr>
              <w:t>(DISER)</w:t>
            </w:r>
          </w:p>
          <w:p w14:paraId="70AC5268" w14:textId="314B6F80" w:rsidR="00382C00" w:rsidRDefault="00382C00" w:rsidP="00110E3F">
            <w:r w:rsidRPr="00382C00">
              <w:t>Brett Challans</w:t>
            </w:r>
            <w:r>
              <w:rPr>
                <w:b/>
              </w:rPr>
              <w:t xml:space="preserve"> (ATO)</w:t>
            </w:r>
          </w:p>
        </w:tc>
      </w:tr>
    </w:tbl>
    <w:p w14:paraId="795F415F" w14:textId="39BDD062" w:rsidR="00EE50B0" w:rsidRPr="00BF0499" w:rsidRDefault="00EE50B0" w:rsidP="00BF0499">
      <w:pPr>
        <w:ind w:left="720"/>
        <w:rPr>
          <w:i/>
        </w:rPr>
      </w:pPr>
      <w:r w:rsidRPr="00BF0499">
        <w:rPr>
          <w:i/>
        </w:rPr>
        <w:t>*Two roundtables were held on this occasion to invite all RADR</w:t>
      </w:r>
      <w:r w:rsidR="00BF0499" w:rsidRPr="00BF0499">
        <w:rPr>
          <w:i/>
        </w:rPr>
        <w:t xml:space="preserve"> members to compensate for March Roundtable cancellation.</w:t>
      </w:r>
    </w:p>
    <w:p w14:paraId="4EF706A0" w14:textId="77777777" w:rsidR="00944114" w:rsidRDefault="00F7221D" w:rsidP="0017496A">
      <w:r>
        <w:br w:type="column"/>
      </w:r>
    </w:p>
    <w:tbl>
      <w:tblPr>
        <w:tblStyle w:val="TableGrid"/>
        <w:tblW w:w="9214" w:type="dxa"/>
        <w:tblInd w:w="-14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80" w:firstRow="0" w:lastRow="0" w:firstColumn="1" w:lastColumn="0" w:noHBand="0" w:noVBand="1"/>
        <w:tblCaption w:val="R&amp;DTI Roundtable Agenda"/>
      </w:tblPr>
      <w:tblGrid>
        <w:gridCol w:w="6379"/>
        <w:gridCol w:w="2835"/>
      </w:tblGrid>
      <w:tr w:rsidR="00BB7812" w:rsidRPr="002179E9" w14:paraId="5E8EF5F0" w14:textId="77777777" w:rsidTr="008E2037">
        <w:trPr>
          <w:tblHeader/>
        </w:trPr>
        <w:tc>
          <w:tcPr>
            <w:tcW w:w="6379" w:type="dxa"/>
            <w:tcBorders>
              <w:bottom w:val="single" w:sz="4" w:space="0" w:color="44546A" w:themeColor="text2"/>
            </w:tcBorders>
            <w:shd w:val="clear" w:color="auto" w:fill="9CC2E5" w:themeFill="accent1" w:themeFillTint="99"/>
            <w:vAlign w:val="center"/>
          </w:tcPr>
          <w:p w14:paraId="181E5AFF" w14:textId="77777777" w:rsidR="00BB7812" w:rsidRPr="00CD70FA" w:rsidRDefault="00BB7812" w:rsidP="00110E3F">
            <w:pPr>
              <w:spacing w:after="60" w:line="25" w:lineRule="atLeast"/>
              <w:rPr>
                <w:rFonts w:eastAsia="Times New Roman" w:cstheme="minorHAnsi"/>
                <w:b/>
                <w:sz w:val="24"/>
                <w:lang w:eastAsia="en-AU"/>
              </w:rPr>
            </w:pPr>
            <w:r w:rsidRPr="00CD70FA">
              <w:rPr>
                <w:rFonts w:eastAsia="Times New Roman" w:cstheme="minorHAnsi"/>
                <w:b/>
                <w:sz w:val="24"/>
                <w:lang w:eastAsia="en-AU"/>
              </w:rPr>
              <w:t>Agenda Items</w:t>
            </w:r>
          </w:p>
        </w:tc>
        <w:tc>
          <w:tcPr>
            <w:tcW w:w="2835" w:type="dxa"/>
            <w:tcBorders>
              <w:bottom w:val="single" w:sz="4" w:space="0" w:color="44546A" w:themeColor="text2"/>
            </w:tcBorders>
            <w:shd w:val="clear" w:color="auto" w:fill="9CC2E5" w:themeFill="accent1" w:themeFillTint="99"/>
            <w:vAlign w:val="center"/>
          </w:tcPr>
          <w:p w14:paraId="5F95B6A3" w14:textId="77777777" w:rsidR="00BB7812" w:rsidRPr="00CD70FA" w:rsidRDefault="00BB7812" w:rsidP="00110E3F">
            <w:pPr>
              <w:spacing w:after="60" w:line="25" w:lineRule="atLeast"/>
              <w:rPr>
                <w:rFonts w:eastAsia="Times New Roman" w:cstheme="minorHAnsi"/>
                <w:b/>
                <w:sz w:val="24"/>
                <w:lang w:eastAsia="en-AU"/>
              </w:rPr>
            </w:pPr>
            <w:r w:rsidRPr="00CD70FA">
              <w:rPr>
                <w:rFonts w:eastAsia="Times New Roman" w:cstheme="minorHAnsi"/>
                <w:b/>
                <w:sz w:val="24"/>
                <w:lang w:eastAsia="en-AU"/>
              </w:rPr>
              <w:t>Presenter(s)</w:t>
            </w:r>
          </w:p>
        </w:tc>
      </w:tr>
      <w:tr w:rsidR="00BB7812" w:rsidRPr="002179E9" w14:paraId="5B900D90" w14:textId="77777777" w:rsidTr="00BB7812">
        <w:tc>
          <w:tcPr>
            <w:tcW w:w="6379" w:type="dxa"/>
            <w:tcBorders>
              <w:top w:val="single" w:sz="4" w:space="0" w:color="44546A" w:themeColor="text2"/>
            </w:tcBorders>
            <w:shd w:val="clear" w:color="auto" w:fill="auto"/>
            <w:vAlign w:val="center"/>
          </w:tcPr>
          <w:p w14:paraId="2D7DD7F3" w14:textId="77777777" w:rsidR="00BB7812" w:rsidRPr="009B508D" w:rsidRDefault="00BB7812" w:rsidP="00C474CA">
            <w:pPr>
              <w:pStyle w:val="ListParagraph"/>
              <w:numPr>
                <w:ilvl w:val="0"/>
                <w:numId w:val="1"/>
              </w:numPr>
              <w:spacing w:after="60" w:line="25" w:lineRule="atLeast"/>
              <w:contextualSpacing w:val="0"/>
              <w:rPr>
                <w:rFonts w:eastAsia="Times New Roman" w:cstheme="minorHAnsi"/>
                <w:szCs w:val="20"/>
                <w:lang w:eastAsia="en-AU"/>
              </w:rPr>
            </w:pPr>
            <w:r w:rsidRPr="009B508D">
              <w:rPr>
                <w:rFonts w:eastAsia="Times New Roman" w:cstheme="minorHAnsi"/>
                <w:b/>
                <w:szCs w:val="20"/>
                <w:lang w:eastAsia="en-AU"/>
              </w:rPr>
              <w:t>Welcome</w:t>
            </w:r>
          </w:p>
          <w:p w14:paraId="3C8EB398" w14:textId="77777777" w:rsidR="00BB7812" w:rsidRPr="00ED4FAF" w:rsidRDefault="00BB7812" w:rsidP="00C474CA">
            <w:pPr>
              <w:pStyle w:val="ListParagraph"/>
              <w:numPr>
                <w:ilvl w:val="1"/>
                <w:numId w:val="1"/>
              </w:numPr>
              <w:spacing w:after="0" w:line="240" w:lineRule="auto"/>
              <w:contextualSpacing w:val="0"/>
              <w:rPr>
                <w:rFonts w:eastAsia="Times New Roman" w:cstheme="minorHAnsi"/>
                <w:lang w:eastAsia="en-AU"/>
              </w:rPr>
            </w:pPr>
            <w:r w:rsidRPr="00ED4FAF">
              <w:rPr>
                <w:rFonts w:eastAsia="Times New Roman" w:cstheme="minorHAnsi"/>
                <w:lang w:eastAsia="en-AU"/>
              </w:rPr>
              <w:t>Roll-call for WebEx Dial ins</w:t>
            </w:r>
          </w:p>
          <w:p w14:paraId="498CABBB" w14:textId="77777777" w:rsidR="00BB7812" w:rsidRPr="00ED4FAF" w:rsidRDefault="00BB7812" w:rsidP="00C474CA">
            <w:pPr>
              <w:pStyle w:val="ListParagraph"/>
              <w:numPr>
                <w:ilvl w:val="1"/>
                <w:numId w:val="1"/>
              </w:numPr>
              <w:spacing w:after="0" w:line="240" w:lineRule="auto"/>
              <w:contextualSpacing w:val="0"/>
              <w:rPr>
                <w:rFonts w:eastAsia="Times New Roman" w:cstheme="minorHAnsi"/>
                <w:lang w:eastAsia="en-AU"/>
              </w:rPr>
            </w:pPr>
            <w:r w:rsidRPr="00ED4FAF">
              <w:rPr>
                <w:rFonts w:cstheme="minorHAnsi"/>
                <w:lang w:eastAsia="en-AU"/>
              </w:rPr>
              <w:t>Action Items from November Roundtable</w:t>
            </w:r>
          </w:p>
          <w:p w14:paraId="4FD23DFF" w14:textId="5E19934A" w:rsidR="00BB7812" w:rsidRPr="009B508D" w:rsidRDefault="00BB7812" w:rsidP="00C474CA">
            <w:pPr>
              <w:pStyle w:val="ListParagraph"/>
              <w:numPr>
                <w:ilvl w:val="1"/>
                <w:numId w:val="1"/>
              </w:numPr>
              <w:spacing w:after="60" w:line="25" w:lineRule="atLeast"/>
              <w:contextualSpacing w:val="0"/>
              <w:rPr>
                <w:rFonts w:eastAsia="Times New Roman" w:cstheme="minorHAnsi"/>
                <w:szCs w:val="20"/>
                <w:lang w:eastAsia="en-AU"/>
              </w:rPr>
            </w:pPr>
            <w:r>
              <w:rPr>
                <w:rFonts w:cstheme="minorHAnsi"/>
                <w:lang w:eastAsia="en-AU"/>
              </w:rPr>
              <w:t>A</w:t>
            </w:r>
            <w:r w:rsidRPr="00ED4FAF">
              <w:rPr>
                <w:rFonts w:cstheme="minorHAnsi"/>
                <w:lang w:eastAsia="en-AU"/>
              </w:rPr>
              <w:t>cc</w:t>
            </w:r>
            <w:r>
              <w:rPr>
                <w:rFonts w:cstheme="minorHAnsi"/>
                <w:lang w:eastAsia="en-AU"/>
              </w:rPr>
              <w:t>ommodating companies during COVID</w:t>
            </w:r>
          </w:p>
        </w:tc>
        <w:tc>
          <w:tcPr>
            <w:tcW w:w="2835" w:type="dxa"/>
            <w:tcBorders>
              <w:top w:val="single" w:sz="4" w:space="0" w:color="44546A" w:themeColor="text2"/>
            </w:tcBorders>
            <w:shd w:val="clear" w:color="auto" w:fill="auto"/>
            <w:vAlign w:val="center"/>
          </w:tcPr>
          <w:p w14:paraId="4FA14CBB" w14:textId="0328AA1C" w:rsidR="00BB7812" w:rsidRPr="00544F49" w:rsidRDefault="00BB7812" w:rsidP="00334A2E">
            <w:pPr>
              <w:spacing w:after="60" w:line="25" w:lineRule="atLeast"/>
              <w:rPr>
                <w:rFonts w:eastAsia="Times New Roman" w:cstheme="minorHAnsi"/>
                <w:szCs w:val="20"/>
                <w:lang w:eastAsia="en-AU"/>
              </w:rPr>
            </w:pPr>
            <w:r w:rsidRPr="00544F49">
              <w:rPr>
                <w:rFonts w:eastAsia="Times New Roman" w:cstheme="minorHAnsi"/>
                <w:lang w:eastAsia="en-AU"/>
              </w:rPr>
              <w:t>Kelley Wiggins (DISER)</w:t>
            </w:r>
          </w:p>
        </w:tc>
      </w:tr>
      <w:tr w:rsidR="00BB7812" w:rsidRPr="002C50A0" w14:paraId="1C144D43" w14:textId="77777777" w:rsidTr="00BB7812">
        <w:tc>
          <w:tcPr>
            <w:tcW w:w="6379" w:type="dxa"/>
            <w:shd w:val="clear" w:color="auto" w:fill="auto"/>
            <w:vAlign w:val="center"/>
          </w:tcPr>
          <w:p w14:paraId="4A388958" w14:textId="77777777" w:rsidR="00BB7812" w:rsidRPr="00ED4FAF" w:rsidRDefault="00BB7812" w:rsidP="00C8296D">
            <w:pPr>
              <w:pStyle w:val="ListParagraph"/>
              <w:numPr>
                <w:ilvl w:val="0"/>
                <w:numId w:val="1"/>
              </w:numPr>
              <w:spacing w:after="0" w:line="240" w:lineRule="auto"/>
              <w:contextualSpacing w:val="0"/>
              <w:rPr>
                <w:rFonts w:eastAsia="Times New Roman" w:cstheme="minorHAnsi"/>
                <w:b/>
                <w:lang w:eastAsia="en-AU"/>
              </w:rPr>
            </w:pPr>
            <w:r w:rsidRPr="00ED4FAF">
              <w:rPr>
                <w:rFonts w:eastAsia="Times New Roman" w:cstheme="minorHAnsi"/>
                <w:b/>
                <w:lang w:eastAsia="en-AU"/>
              </w:rPr>
              <w:t>Policy Update</w:t>
            </w:r>
          </w:p>
          <w:p w14:paraId="40652F3E" w14:textId="75F9CAAF" w:rsidR="00BB7812" w:rsidRPr="000478D5" w:rsidRDefault="00BB7812" w:rsidP="00C8296D">
            <w:pPr>
              <w:pStyle w:val="ListParagraph"/>
              <w:numPr>
                <w:ilvl w:val="1"/>
                <w:numId w:val="1"/>
              </w:numPr>
              <w:spacing w:after="60" w:line="25" w:lineRule="atLeast"/>
              <w:contextualSpacing w:val="0"/>
              <w:rPr>
                <w:rFonts w:eastAsia="Times New Roman" w:cstheme="minorHAnsi"/>
                <w:szCs w:val="20"/>
                <w:lang w:eastAsia="en-AU"/>
              </w:rPr>
            </w:pPr>
            <w:r w:rsidRPr="00ED4FAF">
              <w:rPr>
                <w:rFonts w:eastAsia="Times New Roman" w:cstheme="minorHAnsi"/>
                <w:lang w:eastAsia="en-AU"/>
              </w:rPr>
              <w:t>Legislation Reforms</w:t>
            </w:r>
          </w:p>
        </w:tc>
        <w:tc>
          <w:tcPr>
            <w:tcW w:w="2835" w:type="dxa"/>
            <w:shd w:val="clear" w:color="auto" w:fill="auto"/>
            <w:vAlign w:val="center"/>
          </w:tcPr>
          <w:p w14:paraId="04D246E0" w14:textId="0111D677" w:rsidR="00BB7812" w:rsidRPr="00544F49" w:rsidRDefault="00BB7812" w:rsidP="00110E3F">
            <w:pPr>
              <w:spacing w:after="60" w:line="25" w:lineRule="atLeast"/>
              <w:rPr>
                <w:rFonts w:eastAsia="Times New Roman" w:cstheme="minorHAnsi"/>
                <w:szCs w:val="20"/>
                <w:lang w:eastAsia="en-AU"/>
              </w:rPr>
            </w:pPr>
            <w:r w:rsidRPr="00544F49">
              <w:rPr>
                <w:rFonts w:eastAsia="Times New Roman" w:cstheme="minorHAnsi"/>
                <w:szCs w:val="20"/>
                <w:lang w:eastAsia="en-AU"/>
              </w:rPr>
              <w:t>Wayne Calder (DISER)</w:t>
            </w:r>
          </w:p>
        </w:tc>
      </w:tr>
      <w:tr w:rsidR="00BB7812" w:rsidRPr="00C56F0A" w14:paraId="6E263F40" w14:textId="77777777" w:rsidTr="00BB7812">
        <w:trPr>
          <w:trHeight w:val="566"/>
        </w:trPr>
        <w:tc>
          <w:tcPr>
            <w:tcW w:w="6379" w:type="dxa"/>
            <w:tcBorders>
              <w:bottom w:val="single" w:sz="4" w:space="0" w:color="44546A" w:themeColor="text2"/>
            </w:tcBorders>
            <w:shd w:val="clear" w:color="auto" w:fill="auto"/>
            <w:vAlign w:val="center"/>
          </w:tcPr>
          <w:p w14:paraId="1E865EFE" w14:textId="77777777" w:rsidR="00BB7812" w:rsidRPr="00ED4FAF" w:rsidRDefault="00BB7812" w:rsidP="00C8296D">
            <w:pPr>
              <w:pStyle w:val="ListParagraph"/>
              <w:numPr>
                <w:ilvl w:val="0"/>
                <w:numId w:val="1"/>
              </w:numPr>
              <w:spacing w:after="0" w:line="240" w:lineRule="auto"/>
              <w:contextualSpacing w:val="0"/>
              <w:rPr>
                <w:rFonts w:eastAsia="Times New Roman" w:cstheme="minorHAnsi"/>
                <w:lang w:eastAsia="en-AU"/>
              </w:rPr>
            </w:pPr>
            <w:r w:rsidRPr="00ED4FAF">
              <w:rPr>
                <w:rFonts w:eastAsia="Times New Roman" w:cstheme="minorHAnsi"/>
                <w:b/>
                <w:lang w:eastAsia="en-AU"/>
              </w:rPr>
              <w:t>Update on State Reference Groups (SRGs)</w:t>
            </w:r>
          </w:p>
          <w:p w14:paraId="63713E1E" w14:textId="23F6F956" w:rsidR="00BB7812" w:rsidRPr="000478D5" w:rsidRDefault="00BB7812" w:rsidP="00C8296D">
            <w:pPr>
              <w:pStyle w:val="ListParagraph"/>
              <w:numPr>
                <w:ilvl w:val="1"/>
                <w:numId w:val="1"/>
              </w:numPr>
              <w:spacing w:after="60" w:line="25" w:lineRule="atLeast"/>
              <w:contextualSpacing w:val="0"/>
              <w:rPr>
                <w:rFonts w:eastAsia="Times New Roman" w:cstheme="minorHAnsi"/>
                <w:b/>
                <w:szCs w:val="20"/>
                <w:lang w:eastAsia="en-AU"/>
              </w:rPr>
            </w:pPr>
            <w:r w:rsidRPr="00ED4FAF">
              <w:rPr>
                <w:rFonts w:eastAsia="Times New Roman" w:cstheme="minorHAnsi"/>
                <w:lang w:eastAsia="en-AU"/>
              </w:rPr>
              <w:t>Overview of consultation feedback</w:t>
            </w:r>
          </w:p>
        </w:tc>
        <w:tc>
          <w:tcPr>
            <w:tcW w:w="2835" w:type="dxa"/>
            <w:tcBorders>
              <w:bottom w:val="single" w:sz="4" w:space="0" w:color="44546A" w:themeColor="text2"/>
            </w:tcBorders>
            <w:shd w:val="clear" w:color="auto" w:fill="auto"/>
            <w:vAlign w:val="center"/>
          </w:tcPr>
          <w:p w14:paraId="0A68DE11" w14:textId="524478C4" w:rsidR="00BB7812" w:rsidRPr="00544F49" w:rsidRDefault="00BB7812" w:rsidP="00110E3F">
            <w:pPr>
              <w:spacing w:after="60" w:line="25" w:lineRule="atLeast"/>
              <w:rPr>
                <w:rFonts w:eastAsia="Times New Roman" w:cstheme="minorHAnsi"/>
                <w:szCs w:val="20"/>
                <w:lang w:eastAsia="en-AU"/>
              </w:rPr>
            </w:pPr>
            <w:r w:rsidRPr="00544F49">
              <w:rPr>
                <w:rFonts w:eastAsia="Times New Roman" w:cstheme="minorHAnsi"/>
                <w:lang w:eastAsia="en-AU"/>
              </w:rPr>
              <w:t>Kelley Wiggins (DISER)</w:t>
            </w:r>
          </w:p>
        </w:tc>
      </w:tr>
      <w:tr w:rsidR="00BB7812" w:rsidRPr="002179E9" w14:paraId="53C70134" w14:textId="77777777" w:rsidTr="00BB7812">
        <w:tc>
          <w:tcPr>
            <w:tcW w:w="6379" w:type="dxa"/>
            <w:tcBorders>
              <w:top w:val="single" w:sz="4" w:space="0" w:color="44546A" w:themeColor="text2"/>
              <w:bottom w:val="single" w:sz="4" w:space="0" w:color="auto"/>
            </w:tcBorders>
            <w:shd w:val="clear" w:color="auto" w:fill="auto"/>
            <w:vAlign w:val="center"/>
          </w:tcPr>
          <w:p w14:paraId="7031B84B" w14:textId="477A5D85" w:rsidR="00BB7812" w:rsidRPr="001911C6" w:rsidRDefault="00BB7812" w:rsidP="00C8296D">
            <w:pPr>
              <w:pStyle w:val="ListParagraph"/>
              <w:numPr>
                <w:ilvl w:val="0"/>
                <w:numId w:val="1"/>
              </w:numPr>
              <w:spacing w:after="60" w:line="25" w:lineRule="atLeast"/>
              <w:rPr>
                <w:rFonts w:cstheme="minorHAnsi"/>
                <w:b/>
                <w:lang w:eastAsia="en-AU"/>
              </w:rPr>
            </w:pPr>
            <w:r w:rsidRPr="001911C6">
              <w:rPr>
                <w:rFonts w:cstheme="minorHAnsi"/>
                <w:b/>
                <w:lang w:eastAsia="en-AU"/>
              </w:rPr>
              <w:t>R&amp;DTI Helping Business in Challenging Times</w:t>
            </w:r>
          </w:p>
          <w:p w14:paraId="4C556B77" w14:textId="6130FDDF" w:rsidR="00BB7812" w:rsidRPr="009B508D" w:rsidRDefault="00BB7812" w:rsidP="00C8296D">
            <w:pPr>
              <w:pStyle w:val="ListParagraph"/>
              <w:numPr>
                <w:ilvl w:val="1"/>
                <w:numId w:val="1"/>
              </w:numPr>
              <w:spacing w:after="60" w:line="25" w:lineRule="atLeast"/>
              <w:contextualSpacing w:val="0"/>
              <w:rPr>
                <w:rFonts w:eastAsia="Times New Roman" w:cstheme="minorHAnsi"/>
                <w:b/>
                <w:szCs w:val="20"/>
                <w:lang w:eastAsia="en-AU"/>
              </w:rPr>
            </w:pPr>
            <w:r w:rsidRPr="00ED4FAF">
              <w:rPr>
                <w:rFonts w:eastAsia="Times New Roman" w:cstheme="minorHAnsi"/>
                <w:lang w:eastAsia="en-AU"/>
              </w:rPr>
              <w:t>Discuss</w:t>
            </w:r>
            <w:r>
              <w:rPr>
                <w:rFonts w:eastAsia="Times New Roman" w:cstheme="minorHAnsi"/>
                <w:lang w:eastAsia="en-AU"/>
              </w:rPr>
              <w:t xml:space="preserve">ion of pre-meeting </w:t>
            </w:r>
            <w:r w:rsidRPr="00ED4FAF">
              <w:rPr>
                <w:rFonts w:eastAsia="Times New Roman" w:cstheme="minorHAnsi"/>
                <w:lang w:eastAsia="en-AU"/>
              </w:rPr>
              <w:t>questionnaire</w:t>
            </w:r>
            <w:r>
              <w:rPr>
                <w:rFonts w:eastAsia="Times New Roman" w:cstheme="minorHAnsi"/>
                <w:lang w:eastAsia="en-AU"/>
              </w:rPr>
              <w:t xml:space="preserve"> </w:t>
            </w:r>
            <w:r>
              <w:rPr>
                <w:rFonts w:eastAsia="Times New Roman" w:cstheme="minorHAnsi"/>
                <w:i/>
                <w:lang w:eastAsia="en-AU"/>
              </w:rPr>
              <w:t xml:space="preserve"> </w:t>
            </w:r>
          </w:p>
        </w:tc>
        <w:tc>
          <w:tcPr>
            <w:tcW w:w="2835" w:type="dxa"/>
            <w:tcBorders>
              <w:top w:val="single" w:sz="4" w:space="0" w:color="44546A" w:themeColor="text2"/>
              <w:bottom w:val="single" w:sz="4" w:space="0" w:color="auto"/>
            </w:tcBorders>
            <w:shd w:val="clear" w:color="auto" w:fill="auto"/>
            <w:vAlign w:val="center"/>
          </w:tcPr>
          <w:p w14:paraId="04089FC2" w14:textId="27FE819D" w:rsidR="00BB7812" w:rsidRPr="00544F49" w:rsidRDefault="00BB7812" w:rsidP="00C8296D">
            <w:pPr>
              <w:spacing w:after="60" w:line="25" w:lineRule="atLeast"/>
              <w:rPr>
                <w:rFonts w:eastAsia="Times New Roman" w:cstheme="minorHAnsi"/>
                <w:szCs w:val="20"/>
                <w:lang w:eastAsia="en-AU"/>
              </w:rPr>
            </w:pPr>
            <w:r w:rsidRPr="00544F49">
              <w:rPr>
                <w:rFonts w:eastAsia="Times New Roman" w:cstheme="minorHAnsi"/>
                <w:lang w:eastAsia="en-AU"/>
              </w:rPr>
              <w:t xml:space="preserve">Kelley Wiggins (DISER) and Scott </w:t>
            </w:r>
            <w:proofErr w:type="spellStart"/>
            <w:r w:rsidRPr="00544F49">
              <w:rPr>
                <w:rFonts w:eastAsia="Times New Roman" w:cstheme="minorHAnsi"/>
                <w:lang w:eastAsia="en-AU"/>
              </w:rPr>
              <w:t>Treatt</w:t>
            </w:r>
            <w:proofErr w:type="spellEnd"/>
            <w:r w:rsidRPr="00544F49">
              <w:rPr>
                <w:rFonts w:eastAsia="Times New Roman" w:cstheme="minorHAnsi"/>
                <w:lang w:eastAsia="en-AU"/>
              </w:rPr>
              <w:t xml:space="preserve"> (ATO)</w:t>
            </w:r>
          </w:p>
        </w:tc>
      </w:tr>
      <w:tr w:rsidR="00BB7812" w:rsidRPr="002179E9" w14:paraId="21047D3F" w14:textId="77777777" w:rsidTr="00BB7812">
        <w:tc>
          <w:tcPr>
            <w:tcW w:w="6379" w:type="dxa"/>
            <w:tcBorders>
              <w:top w:val="single" w:sz="4" w:space="0" w:color="auto"/>
            </w:tcBorders>
            <w:shd w:val="clear" w:color="auto" w:fill="auto"/>
            <w:vAlign w:val="center"/>
          </w:tcPr>
          <w:p w14:paraId="1DF94CCA" w14:textId="77777777" w:rsidR="00BB7812" w:rsidRPr="00ED4FAF" w:rsidRDefault="00BB7812" w:rsidP="00C8296D">
            <w:pPr>
              <w:pStyle w:val="ListParagraph"/>
              <w:numPr>
                <w:ilvl w:val="0"/>
                <w:numId w:val="1"/>
              </w:numPr>
              <w:spacing w:after="0" w:line="240" w:lineRule="auto"/>
              <w:contextualSpacing w:val="0"/>
              <w:rPr>
                <w:rFonts w:eastAsia="Times New Roman" w:cstheme="minorHAnsi"/>
                <w:b/>
                <w:lang w:eastAsia="en-AU"/>
              </w:rPr>
            </w:pPr>
            <w:r w:rsidRPr="00ED4FAF">
              <w:rPr>
                <w:rFonts w:eastAsia="Times New Roman" w:cstheme="minorHAnsi"/>
                <w:b/>
                <w:lang w:eastAsia="en-AU"/>
              </w:rPr>
              <w:t>ATO Update</w:t>
            </w:r>
          </w:p>
          <w:p w14:paraId="0003AAE4" w14:textId="77777777" w:rsidR="00BB7812" w:rsidRPr="00ED4FAF" w:rsidRDefault="00BB7812" w:rsidP="00C8296D">
            <w:pPr>
              <w:pStyle w:val="ListParagraph"/>
              <w:numPr>
                <w:ilvl w:val="1"/>
                <w:numId w:val="1"/>
              </w:numPr>
              <w:spacing w:after="0" w:line="240" w:lineRule="auto"/>
              <w:rPr>
                <w:rFonts w:eastAsia="Times New Roman" w:cstheme="minorHAnsi"/>
                <w:lang w:eastAsia="en-AU"/>
              </w:rPr>
            </w:pPr>
            <w:r w:rsidRPr="00ED4FAF">
              <w:rPr>
                <w:rFonts w:eastAsia="Times New Roman" w:cstheme="minorHAnsi"/>
                <w:lang w:eastAsia="en-AU"/>
              </w:rPr>
              <w:t xml:space="preserve">COVID-19 and Bushfires Responses </w:t>
            </w:r>
          </w:p>
          <w:p w14:paraId="60583B44" w14:textId="6F48E736" w:rsidR="00BB7812" w:rsidRPr="00C8296D" w:rsidRDefault="00BB7812" w:rsidP="00C8296D">
            <w:pPr>
              <w:pStyle w:val="ListParagraph"/>
              <w:numPr>
                <w:ilvl w:val="1"/>
                <w:numId w:val="1"/>
              </w:numPr>
              <w:spacing w:after="0" w:line="240" w:lineRule="auto"/>
              <w:rPr>
                <w:rFonts w:eastAsia="Times New Roman" w:cstheme="minorHAnsi"/>
                <w:lang w:eastAsia="en-AU"/>
              </w:rPr>
            </w:pPr>
            <w:r w:rsidRPr="00ED4FAF">
              <w:rPr>
                <w:rFonts w:eastAsia="Times New Roman" w:cstheme="minorHAnsi"/>
                <w:lang w:eastAsia="en-AU"/>
              </w:rPr>
              <w:t>Update on public guidance</w:t>
            </w:r>
          </w:p>
        </w:tc>
        <w:tc>
          <w:tcPr>
            <w:tcW w:w="2835" w:type="dxa"/>
            <w:tcBorders>
              <w:top w:val="single" w:sz="4" w:space="0" w:color="auto"/>
            </w:tcBorders>
            <w:shd w:val="clear" w:color="auto" w:fill="auto"/>
            <w:vAlign w:val="center"/>
          </w:tcPr>
          <w:p w14:paraId="33E68306" w14:textId="6599D6C0" w:rsidR="00BB7812" w:rsidRPr="00544F49" w:rsidRDefault="00BB7812" w:rsidP="00C8296D">
            <w:pPr>
              <w:spacing w:after="60" w:line="25" w:lineRule="atLeast"/>
              <w:rPr>
                <w:rFonts w:eastAsia="Times New Roman" w:cstheme="minorHAnsi"/>
                <w:szCs w:val="20"/>
                <w:lang w:eastAsia="en-AU"/>
              </w:rPr>
            </w:pPr>
            <w:r w:rsidRPr="00544F49">
              <w:rPr>
                <w:rFonts w:eastAsia="Times New Roman" w:cstheme="minorHAnsi"/>
                <w:lang w:eastAsia="en-AU"/>
              </w:rPr>
              <w:t xml:space="preserve">Scott </w:t>
            </w:r>
            <w:proofErr w:type="spellStart"/>
            <w:r w:rsidRPr="00544F49">
              <w:rPr>
                <w:rFonts w:eastAsia="Times New Roman" w:cstheme="minorHAnsi"/>
                <w:lang w:eastAsia="en-AU"/>
              </w:rPr>
              <w:t>Treatt</w:t>
            </w:r>
            <w:proofErr w:type="spellEnd"/>
            <w:r w:rsidRPr="00544F49">
              <w:rPr>
                <w:rFonts w:eastAsia="Times New Roman" w:cstheme="minorHAnsi"/>
                <w:lang w:eastAsia="en-AU"/>
              </w:rPr>
              <w:t xml:space="preserve"> (ATO)</w:t>
            </w:r>
          </w:p>
        </w:tc>
      </w:tr>
      <w:tr w:rsidR="00BB7812" w:rsidRPr="002179E9" w14:paraId="2292AC9B" w14:textId="77777777" w:rsidTr="00BB7812">
        <w:tc>
          <w:tcPr>
            <w:tcW w:w="6379" w:type="dxa"/>
            <w:tcBorders>
              <w:top w:val="single" w:sz="4" w:space="0" w:color="44546A" w:themeColor="text2"/>
            </w:tcBorders>
            <w:shd w:val="clear" w:color="auto" w:fill="auto"/>
            <w:vAlign w:val="center"/>
          </w:tcPr>
          <w:p w14:paraId="5AEC6DE7" w14:textId="77777777" w:rsidR="00BB7812" w:rsidRPr="00ED4FAF" w:rsidRDefault="00BB7812" w:rsidP="00C8296D">
            <w:pPr>
              <w:pStyle w:val="ListParagraph"/>
              <w:numPr>
                <w:ilvl w:val="0"/>
                <w:numId w:val="1"/>
              </w:numPr>
              <w:spacing w:after="0" w:line="240" w:lineRule="auto"/>
              <w:contextualSpacing w:val="0"/>
              <w:rPr>
                <w:rFonts w:eastAsia="Times New Roman" w:cstheme="minorHAnsi"/>
                <w:b/>
                <w:lang w:eastAsia="en-AU"/>
              </w:rPr>
            </w:pPr>
            <w:r w:rsidRPr="00ED4FAF">
              <w:rPr>
                <w:rFonts w:eastAsia="Times New Roman" w:cstheme="minorHAnsi"/>
                <w:b/>
                <w:lang w:eastAsia="en-AU"/>
              </w:rPr>
              <w:t>Program Updates</w:t>
            </w:r>
          </w:p>
          <w:p w14:paraId="3B411135" w14:textId="77777777" w:rsidR="00BB7812" w:rsidRPr="00ED4FAF" w:rsidRDefault="00BB7812" w:rsidP="00C8296D">
            <w:pPr>
              <w:pStyle w:val="ListParagraph"/>
              <w:numPr>
                <w:ilvl w:val="1"/>
                <w:numId w:val="1"/>
              </w:numPr>
              <w:spacing w:after="0" w:line="240" w:lineRule="auto"/>
              <w:contextualSpacing w:val="0"/>
              <w:rPr>
                <w:rFonts w:eastAsia="Times New Roman" w:cstheme="minorHAnsi"/>
                <w:lang w:eastAsia="en-AU"/>
              </w:rPr>
            </w:pPr>
            <w:r w:rsidRPr="00ED4FAF">
              <w:rPr>
                <w:rFonts w:eastAsia="Times New Roman" w:cstheme="minorHAnsi"/>
                <w:lang w:eastAsia="en-AU"/>
              </w:rPr>
              <w:t>New Integrity Framework administrative Initiatives</w:t>
            </w:r>
          </w:p>
          <w:p w14:paraId="148601CF" w14:textId="661ABE2C" w:rsidR="00BB7812" w:rsidRPr="00C8296D" w:rsidRDefault="00BB7812" w:rsidP="00C8296D">
            <w:pPr>
              <w:pStyle w:val="ListParagraph"/>
              <w:numPr>
                <w:ilvl w:val="1"/>
                <w:numId w:val="1"/>
              </w:numPr>
              <w:spacing w:after="0" w:line="240" w:lineRule="auto"/>
              <w:contextualSpacing w:val="0"/>
              <w:rPr>
                <w:rFonts w:eastAsia="Times New Roman" w:cstheme="minorHAnsi"/>
                <w:lang w:eastAsia="en-AU"/>
              </w:rPr>
            </w:pPr>
            <w:r w:rsidRPr="00ED4FAF">
              <w:rPr>
                <w:rFonts w:cstheme="minorHAnsi"/>
              </w:rPr>
              <w:t>R</w:t>
            </w:r>
            <w:r w:rsidRPr="00ED4FAF">
              <w:rPr>
                <w:rFonts w:eastAsia="Times New Roman" w:cstheme="minorHAnsi"/>
                <w:lang w:eastAsia="en-AU"/>
              </w:rPr>
              <w:t>&amp;DTI reform update</w:t>
            </w:r>
          </w:p>
        </w:tc>
        <w:tc>
          <w:tcPr>
            <w:tcW w:w="2835" w:type="dxa"/>
            <w:tcBorders>
              <w:top w:val="single" w:sz="4" w:space="0" w:color="44546A" w:themeColor="text2"/>
            </w:tcBorders>
            <w:shd w:val="clear" w:color="auto" w:fill="auto"/>
            <w:vAlign w:val="center"/>
          </w:tcPr>
          <w:p w14:paraId="74001479" w14:textId="6D90FA03" w:rsidR="00BB7812" w:rsidRPr="00544F49" w:rsidRDefault="00BB7812" w:rsidP="00C474CA">
            <w:pPr>
              <w:spacing w:after="60" w:line="25" w:lineRule="atLeast"/>
              <w:rPr>
                <w:rFonts w:eastAsia="Times New Roman" w:cstheme="minorHAnsi"/>
                <w:szCs w:val="20"/>
                <w:lang w:eastAsia="en-AU"/>
              </w:rPr>
            </w:pPr>
            <w:r w:rsidRPr="00544F49">
              <w:rPr>
                <w:rFonts w:eastAsia="Times New Roman" w:cstheme="minorHAnsi"/>
                <w:lang w:eastAsia="en-AU"/>
              </w:rPr>
              <w:t xml:space="preserve"> (DISER)</w:t>
            </w:r>
          </w:p>
        </w:tc>
      </w:tr>
      <w:tr w:rsidR="00BB7812" w:rsidRPr="002179E9" w14:paraId="44DF58EB" w14:textId="77777777" w:rsidTr="00BB7812">
        <w:tc>
          <w:tcPr>
            <w:tcW w:w="6379" w:type="dxa"/>
            <w:tcBorders>
              <w:bottom w:val="single" w:sz="4" w:space="0" w:color="44546A" w:themeColor="text2"/>
            </w:tcBorders>
            <w:shd w:val="clear" w:color="auto" w:fill="auto"/>
            <w:vAlign w:val="center"/>
          </w:tcPr>
          <w:p w14:paraId="14E1E433" w14:textId="77777777" w:rsidR="00BB7812" w:rsidRPr="009B508D" w:rsidRDefault="00BB7812" w:rsidP="00C474CA">
            <w:pPr>
              <w:pStyle w:val="ListParagraph"/>
              <w:numPr>
                <w:ilvl w:val="0"/>
                <w:numId w:val="1"/>
              </w:numPr>
              <w:spacing w:after="60" w:line="25" w:lineRule="atLeast"/>
              <w:contextualSpacing w:val="0"/>
              <w:rPr>
                <w:rFonts w:eastAsia="Times New Roman" w:cstheme="minorHAnsi"/>
                <w:szCs w:val="20"/>
                <w:lang w:eastAsia="en-AU"/>
              </w:rPr>
            </w:pPr>
            <w:r w:rsidRPr="009B508D">
              <w:rPr>
                <w:rFonts w:eastAsia="Times New Roman" w:cstheme="minorHAnsi"/>
                <w:b/>
                <w:szCs w:val="20"/>
                <w:lang w:eastAsia="en-AU"/>
              </w:rPr>
              <w:t>Any outstanding items and close</w:t>
            </w:r>
          </w:p>
        </w:tc>
        <w:tc>
          <w:tcPr>
            <w:tcW w:w="2835" w:type="dxa"/>
            <w:shd w:val="clear" w:color="auto" w:fill="auto"/>
            <w:vAlign w:val="center"/>
          </w:tcPr>
          <w:p w14:paraId="38FC4062" w14:textId="36B36DF5" w:rsidR="00BB7812" w:rsidRPr="00544F49" w:rsidRDefault="00BB7812" w:rsidP="00C474CA">
            <w:pPr>
              <w:spacing w:after="60" w:line="25" w:lineRule="atLeast"/>
              <w:rPr>
                <w:rFonts w:eastAsia="Times New Roman" w:cstheme="minorHAnsi"/>
                <w:szCs w:val="20"/>
                <w:lang w:eastAsia="en-AU"/>
              </w:rPr>
            </w:pPr>
            <w:r w:rsidRPr="00544F49">
              <w:rPr>
                <w:rFonts w:eastAsia="Times New Roman" w:cstheme="minorHAnsi"/>
                <w:lang w:eastAsia="en-AU"/>
              </w:rPr>
              <w:t>Kelley Wiggins (DISER)</w:t>
            </w:r>
          </w:p>
        </w:tc>
      </w:tr>
    </w:tbl>
    <w:p w14:paraId="6576847B" w14:textId="590F5B40" w:rsidR="00CA0E6F" w:rsidRDefault="008E2037" w:rsidP="008E2037">
      <w:pPr>
        <w:jc w:val="center"/>
      </w:pPr>
      <w:r w:rsidRPr="00C22949">
        <w:rPr>
          <w:rFonts w:ascii="Arial" w:eastAsia="Times New Roman" w:hAnsi="Arial" w:cs="Arial"/>
          <w:b/>
          <w:sz w:val="20"/>
          <w:szCs w:val="20"/>
          <w:lang w:eastAsia="en-AU"/>
        </w:rPr>
        <w:t>Meeting Close</w:t>
      </w:r>
    </w:p>
    <w:p w14:paraId="5841F177" w14:textId="00E3572B" w:rsidR="0017496A" w:rsidRDefault="00CA0E6F" w:rsidP="0017496A">
      <w:r>
        <w:br w:type="page"/>
      </w:r>
    </w:p>
    <w:tbl>
      <w:tblPr>
        <w:tblStyle w:val="TableGrid"/>
        <w:tblW w:w="9606" w:type="dxa"/>
        <w:tblInd w:w="-113" w:type="dxa"/>
        <w:tblLook w:val="04A0" w:firstRow="1" w:lastRow="0" w:firstColumn="1" w:lastColumn="0" w:noHBand="0" w:noVBand="1"/>
        <w:tblCaption w:val="R&amp;DTI Roundtable Action Items"/>
      </w:tblPr>
      <w:tblGrid>
        <w:gridCol w:w="6487"/>
        <w:gridCol w:w="1559"/>
        <w:gridCol w:w="1560"/>
      </w:tblGrid>
      <w:tr w:rsidR="004F74E2" w:rsidRPr="009E0AB4" w14:paraId="6DA2BDD2" w14:textId="77777777" w:rsidTr="008E2037">
        <w:trPr>
          <w:trHeight w:val="254"/>
          <w:tblHeader/>
        </w:trPr>
        <w:tc>
          <w:tcPr>
            <w:tcW w:w="6487" w:type="dxa"/>
            <w:shd w:val="clear" w:color="auto" w:fill="9CC2E5" w:themeFill="accent1" w:themeFillTint="99"/>
          </w:tcPr>
          <w:p w14:paraId="7CE6D755" w14:textId="6DD423F2" w:rsidR="004F74E2" w:rsidRPr="009E0AB4" w:rsidRDefault="004F74E2" w:rsidP="006653BB">
            <w:pPr>
              <w:rPr>
                <w:b/>
                <w:sz w:val="24"/>
              </w:rPr>
            </w:pPr>
            <w:r w:rsidRPr="009E0AB4">
              <w:rPr>
                <w:b/>
                <w:sz w:val="24"/>
              </w:rPr>
              <w:lastRenderedPageBreak/>
              <w:t>Action Item</w:t>
            </w:r>
            <w:r>
              <w:rPr>
                <w:b/>
                <w:sz w:val="24"/>
              </w:rPr>
              <w:t>s</w:t>
            </w:r>
            <w:r w:rsidR="00687A3E">
              <w:rPr>
                <w:b/>
                <w:sz w:val="24"/>
              </w:rPr>
              <w:t xml:space="preserve"> </w:t>
            </w:r>
            <w:r w:rsidR="00EF26C0">
              <w:rPr>
                <w:b/>
                <w:sz w:val="24"/>
              </w:rPr>
              <w:t>from</w:t>
            </w:r>
            <w:r w:rsidR="00687A3E">
              <w:rPr>
                <w:b/>
                <w:sz w:val="24"/>
              </w:rPr>
              <w:t xml:space="preserve"> November </w:t>
            </w:r>
            <w:r w:rsidR="006653BB">
              <w:rPr>
                <w:b/>
                <w:sz w:val="24"/>
              </w:rPr>
              <w:t>2019</w:t>
            </w:r>
          </w:p>
        </w:tc>
        <w:tc>
          <w:tcPr>
            <w:tcW w:w="1559" w:type="dxa"/>
            <w:shd w:val="clear" w:color="auto" w:fill="9CC2E5" w:themeFill="accent1" w:themeFillTint="99"/>
          </w:tcPr>
          <w:p w14:paraId="3EDFD024" w14:textId="77777777" w:rsidR="004F74E2" w:rsidRPr="009E0AB4" w:rsidRDefault="004F74E2" w:rsidP="00DA01E4">
            <w:pPr>
              <w:rPr>
                <w:b/>
                <w:sz w:val="24"/>
              </w:rPr>
            </w:pPr>
            <w:r w:rsidRPr="009E0AB4">
              <w:rPr>
                <w:b/>
                <w:sz w:val="24"/>
              </w:rPr>
              <w:t>Ownership</w:t>
            </w:r>
          </w:p>
        </w:tc>
        <w:tc>
          <w:tcPr>
            <w:tcW w:w="1560" w:type="dxa"/>
            <w:shd w:val="clear" w:color="auto" w:fill="9CC2E5" w:themeFill="accent1" w:themeFillTint="99"/>
          </w:tcPr>
          <w:p w14:paraId="2B40BD16" w14:textId="77777777" w:rsidR="004F74E2" w:rsidRPr="009E0AB4" w:rsidRDefault="004F74E2" w:rsidP="00DA01E4">
            <w:pPr>
              <w:rPr>
                <w:b/>
                <w:sz w:val="24"/>
              </w:rPr>
            </w:pPr>
            <w:r w:rsidRPr="009E0AB4">
              <w:rPr>
                <w:b/>
                <w:sz w:val="24"/>
              </w:rPr>
              <w:t>Due Date</w:t>
            </w:r>
          </w:p>
        </w:tc>
      </w:tr>
      <w:tr w:rsidR="004F74E2" w14:paraId="675ED8A2" w14:textId="77777777" w:rsidTr="00CE54E4">
        <w:trPr>
          <w:trHeight w:val="481"/>
        </w:trPr>
        <w:tc>
          <w:tcPr>
            <w:tcW w:w="6487" w:type="dxa"/>
          </w:tcPr>
          <w:p w14:paraId="0E0CED40" w14:textId="77777777" w:rsidR="00CE54E4" w:rsidRDefault="004F74E2" w:rsidP="00CE54E4">
            <w:r>
              <w:t>Reflect on the feedback received in relation to the User Journey and update communications over time</w:t>
            </w:r>
          </w:p>
          <w:p w14:paraId="4ED74E02" w14:textId="20F66647" w:rsidR="004F74E2" w:rsidRDefault="004F74E2" w:rsidP="00CE54E4"/>
        </w:tc>
        <w:tc>
          <w:tcPr>
            <w:tcW w:w="1559" w:type="dxa"/>
          </w:tcPr>
          <w:p w14:paraId="34D86F9B" w14:textId="4B99935C" w:rsidR="004F74E2" w:rsidRDefault="00B92072" w:rsidP="00DA01E4">
            <w:r>
              <w:t>D</w:t>
            </w:r>
            <w:r w:rsidR="00776100">
              <w:t>I</w:t>
            </w:r>
            <w:r>
              <w:t>SER</w:t>
            </w:r>
          </w:p>
        </w:tc>
        <w:tc>
          <w:tcPr>
            <w:tcW w:w="1560" w:type="dxa"/>
          </w:tcPr>
          <w:p w14:paraId="6E3E4EB8" w14:textId="77777777" w:rsidR="004F74E2" w:rsidRDefault="004F74E2" w:rsidP="00DA01E4">
            <w:r>
              <w:t>Ongoing</w:t>
            </w:r>
          </w:p>
        </w:tc>
      </w:tr>
      <w:tr w:rsidR="004F74E2" w14:paraId="507C27AF" w14:textId="77777777" w:rsidTr="00CE54E4">
        <w:trPr>
          <w:trHeight w:val="481"/>
        </w:trPr>
        <w:tc>
          <w:tcPr>
            <w:tcW w:w="6487" w:type="dxa"/>
          </w:tcPr>
          <w:p w14:paraId="3CA9BF5B" w14:textId="77777777" w:rsidR="004F74E2" w:rsidRDefault="004F74E2" w:rsidP="00DA01E4">
            <w:r>
              <w:t xml:space="preserve">Open an invitation to Treasury to attend Roundtable </w:t>
            </w:r>
          </w:p>
        </w:tc>
        <w:tc>
          <w:tcPr>
            <w:tcW w:w="1559" w:type="dxa"/>
          </w:tcPr>
          <w:p w14:paraId="571ECD3D" w14:textId="2F2D65F8" w:rsidR="004F74E2" w:rsidRDefault="00B92072" w:rsidP="00B92072">
            <w:r>
              <w:t>DISER</w:t>
            </w:r>
            <w:r w:rsidR="004F74E2">
              <w:t>/ATO</w:t>
            </w:r>
          </w:p>
        </w:tc>
        <w:tc>
          <w:tcPr>
            <w:tcW w:w="1560" w:type="dxa"/>
          </w:tcPr>
          <w:p w14:paraId="53B48C6E" w14:textId="77777777" w:rsidR="004F74E2" w:rsidRDefault="004F74E2" w:rsidP="00DA01E4">
            <w:r>
              <w:t>March 2020</w:t>
            </w:r>
          </w:p>
        </w:tc>
      </w:tr>
      <w:tr w:rsidR="004F74E2" w14:paraId="2710DF40" w14:textId="77777777" w:rsidTr="00CE54E4">
        <w:trPr>
          <w:trHeight w:val="481"/>
        </w:trPr>
        <w:tc>
          <w:tcPr>
            <w:tcW w:w="6487" w:type="dxa"/>
          </w:tcPr>
          <w:p w14:paraId="460B489A" w14:textId="77777777" w:rsidR="004F74E2" w:rsidRDefault="004F74E2" w:rsidP="00DA01E4">
            <w:r w:rsidRPr="00F85366">
              <w:t xml:space="preserve">Determine co-chair arrangements for the </w:t>
            </w:r>
            <w:r>
              <w:t xml:space="preserve">March </w:t>
            </w:r>
            <w:r w:rsidRPr="00F85366">
              <w:t>Roundtable</w:t>
            </w:r>
          </w:p>
        </w:tc>
        <w:tc>
          <w:tcPr>
            <w:tcW w:w="1559" w:type="dxa"/>
          </w:tcPr>
          <w:p w14:paraId="39ED2898" w14:textId="77777777" w:rsidR="004F74E2" w:rsidRDefault="004F74E2" w:rsidP="00DA01E4">
            <w:r>
              <w:t>Secretariat</w:t>
            </w:r>
          </w:p>
        </w:tc>
        <w:tc>
          <w:tcPr>
            <w:tcW w:w="1560" w:type="dxa"/>
          </w:tcPr>
          <w:p w14:paraId="5A3B113B" w14:textId="77777777" w:rsidR="004F74E2" w:rsidRDefault="004F74E2" w:rsidP="00DA01E4">
            <w:r>
              <w:t>March 2020</w:t>
            </w:r>
          </w:p>
        </w:tc>
      </w:tr>
    </w:tbl>
    <w:p w14:paraId="0EC54E5C" w14:textId="77777777" w:rsidR="0017496A" w:rsidRDefault="0017496A" w:rsidP="0017496A"/>
    <w:p w14:paraId="0D62F49B" w14:textId="73550C03" w:rsidR="0017496A" w:rsidRPr="008E2037" w:rsidRDefault="00EF56A7" w:rsidP="008E2037">
      <w:pPr>
        <w:pStyle w:val="Heading2"/>
      </w:pPr>
      <w:r w:rsidRPr="008E2037">
        <w:t xml:space="preserve">Welcome, </w:t>
      </w:r>
      <w:r w:rsidR="00382C00" w:rsidRPr="008E2037">
        <w:t>Action Items from the November 2019 Roundtable</w:t>
      </w:r>
      <w:r w:rsidRPr="008E2037">
        <w:t xml:space="preserve">, </w:t>
      </w:r>
      <w:r w:rsidR="00845CB0" w:rsidRPr="008E2037">
        <w:t>Accommodating</w:t>
      </w:r>
      <w:r w:rsidRPr="008E2037">
        <w:t xml:space="preserve"> </w:t>
      </w:r>
      <w:r w:rsidR="00955AD8" w:rsidRPr="008E2037">
        <w:t>Companies</w:t>
      </w:r>
      <w:r w:rsidRPr="008E2037">
        <w:t xml:space="preserve"> under COVID-19</w:t>
      </w:r>
      <w:r w:rsidR="0017496A" w:rsidRPr="008E2037">
        <w:t xml:space="preserve"> </w:t>
      </w:r>
    </w:p>
    <w:p w14:paraId="76C5DD2A" w14:textId="6BB8EAB9" w:rsidR="00382C00" w:rsidRDefault="00655C2A" w:rsidP="001E6758">
      <w:pPr>
        <w:pStyle w:val="ListParagraph"/>
        <w:numPr>
          <w:ilvl w:val="0"/>
          <w:numId w:val="10"/>
        </w:numPr>
      </w:pPr>
      <w:r>
        <w:t>The Chair opened the meeting, w</w:t>
      </w:r>
      <w:r w:rsidR="00382C00">
        <w:t xml:space="preserve">elcomed </w:t>
      </w:r>
      <w:r w:rsidR="00A50003">
        <w:t>attendees</w:t>
      </w:r>
      <w:r w:rsidR="00382C00">
        <w:t xml:space="preserve"> </w:t>
      </w:r>
      <w:r w:rsidR="00201DE7">
        <w:t>and</w:t>
      </w:r>
      <w:r w:rsidR="00382C00">
        <w:t xml:space="preserve"> Scott </w:t>
      </w:r>
      <w:proofErr w:type="spellStart"/>
      <w:r w:rsidR="00382C00">
        <w:t>Treatt</w:t>
      </w:r>
      <w:proofErr w:type="spellEnd"/>
      <w:r w:rsidR="00382C00">
        <w:t xml:space="preserve"> from ATO as co-chair</w:t>
      </w:r>
      <w:r>
        <w:t xml:space="preserve"> for the meeting.</w:t>
      </w:r>
    </w:p>
    <w:p w14:paraId="06E116F8" w14:textId="77777777" w:rsidR="00655C2A" w:rsidRDefault="00466887" w:rsidP="001E6758">
      <w:pPr>
        <w:pStyle w:val="ListParagraph"/>
        <w:numPr>
          <w:ilvl w:val="0"/>
          <w:numId w:val="10"/>
        </w:numPr>
      </w:pPr>
      <w:r>
        <w:t>DISER</w:t>
      </w:r>
      <w:r w:rsidR="006516C3">
        <w:t xml:space="preserve"> acknowledge</w:t>
      </w:r>
      <w:r>
        <w:t>d</w:t>
      </w:r>
      <w:r w:rsidR="006516C3">
        <w:t xml:space="preserve"> member’s patience</w:t>
      </w:r>
      <w:r>
        <w:t xml:space="preserve"> </w:t>
      </w:r>
      <w:r w:rsidR="006124C2">
        <w:t xml:space="preserve">for the time passed since the last </w:t>
      </w:r>
      <w:r w:rsidR="00A50003">
        <w:t>Roundtable</w:t>
      </w:r>
      <w:r w:rsidR="008A55F8">
        <w:t xml:space="preserve">, and the cancellation of the March </w:t>
      </w:r>
      <w:r w:rsidR="00A50003">
        <w:t>2020</w:t>
      </w:r>
      <w:r w:rsidR="008A55F8">
        <w:t xml:space="preserve"> </w:t>
      </w:r>
      <w:r w:rsidR="00A50003">
        <w:t>Roundtable</w:t>
      </w:r>
      <w:r w:rsidR="006124C2">
        <w:t>.</w:t>
      </w:r>
      <w:r w:rsidR="006516C3">
        <w:t xml:space="preserve"> </w:t>
      </w:r>
    </w:p>
    <w:p w14:paraId="23A8D503" w14:textId="7DAA664F" w:rsidR="00D60475" w:rsidRDefault="00655C2A" w:rsidP="006A2D2F">
      <w:pPr>
        <w:pStyle w:val="ListParagraph"/>
        <w:numPr>
          <w:ilvl w:val="1"/>
          <w:numId w:val="10"/>
        </w:numPr>
      </w:pPr>
      <w:r>
        <w:t>Delays have</w:t>
      </w:r>
      <w:r w:rsidR="002E3FB5">
        <w:t xml:space="preserve"> been</w:t>
      </w:r>
      <w:r w:rsidR="006516C3">
        <w:t xml:space="preserve"> due to </w:t>
      </w:r>
      <w:r w:rsidR="002E3FB5">
        <w:t>recent and unfolding events (b</w:t>
      </w:r>
      <w:r w:rsidR="006516C3">
        <w:t xml:space="preserve">ushfires, </w:t>
      </w:r>
      <w:r w:rsidR="00A838CB">
        <w:t>restrictions on gatherings due to</w:t>
      </w:r>
      <w:r w:rsidR="006516C3">
        <w:t xml:space="preserve"> </w:t>
      </w:r>
      <w:r w:rsidR="002E3FB5">
        <w:t xml:space="preserve">the </w:t>
      </w:r>
      <w:r w:rsidR="006516C3">
        <w:t>COVID</w:t>
      </w:r>
      <w:r w:rsidR="006124C2">
        <w:t>-19</w:t>
      </w:r>
      <w:r w:rsidR="002E3FB5">
        <w:t xml:space="preserve"> pandemic</w:t>
      </w:r>
      <w:r w:rsidR="006124C2">
        <w:t>,</w:t>
      </w:r>
      <w:r w:rsidR="006516C3">
        <w:t xml:space="preserve"> and </w:t>
      </w:r>
      <w:r w:rsidR="006124C2">
        <w:t>the</w:t>
      </w:r>
      <w:r w:rsidR="00A838CB">
        <w:t xml:space="preserve"> reallocation of </w:t>
      </w:r>
      <w:r w:rsidR="002E3FB5">
        <w:t xml:space="preserve">DISER and ATO </w:t>
      </w:r>
      <w:r w:rsidR="00A838CB">
        <w:t>staff</w:t>
      </w:r>
      <w:r w:rsidR="006124C2">
        <w:t xml:space="preserve"> </w:t>
      </w:r>
      <w:r w:rsidR="006516C3">
        <w:t xml:space="preserve">resourcing throughout </w:t>
      </w:r>
      <w:r w:rsidR="006124C2">
        <w:t xml:space="preserve">the </w:t>
      </w:r>
      <w:r w:rsidR="008E20A4">
        <w:t xml:space="preserve">COVID-19 </w:t>
      </w:r>
      <w:r w:rsidR="006124C2">
        <w:t>pandemic</w:t>
      </w:r>
      <w:r w:rsidR="002E3FB5">
        <w:t>)</w:t>
      </w:r>
      <w:r w:rsidR="006124C2">
        <w:t>.</w:t>
      </w:r>
    </w:p>
    <w:p w14:paraId="340316D6" w14:textId="12914E81" w:rsidR="00845CB0" w:rsidRDefault="00D60475" w:rsidP="001E6758">
      <w:pPr>
        <w:pStyle w:val="ListParagraph"/>
        <w:numPr>
          <w:ilvl w:val="0"/>
          <w:numId w:val="10"/>
        </w:numPr>
      </w:pPr>
      <w:r>
        <w:t>Action items from the</w:t>
      </w:r>
      <w:r w:rsidR="008145E4">
        <w:t xml:space="preserve"> November</w:t>
      </w:r>
      <w:r>
        <w:t xml:space="preserve"> Roundtable included</w:t>
      </w:r>
      <w:r w:rsidR="00845CB0">
        <w:t>;</w:t>
      </w:r>
    </w:p>
    <w:p w14:paraId="34301C68" w14:textId="5AC59936" w:rsidR="00D60475" w:rsidRDefault="00B3160A" w:rsidP="00845CB0">
      <w:pPr>
        <w:pStyle w:val="ListParagraph"/>
        <w:numPr>
          <w:ilvl w:val="1"/>
          <w:numId w:val="10"/>
        </w:numPr>
      </w:pPr>
      <w:r>
        <w:t>F</w:t>
      </w:r>
      <w:r w:rsidR="00D60475">
        <w:t xml:space="preserve">eedback on the User </w:t>
      </w:r>
      <w:r w:rsidR="00A52A62">
        <w:t>Journey and Integrity Framework.</w:t>
      </w:r>
    </w:p>
    <w:p w14:paraId="478847BB" w14:textId="2D78972E" w:rsidR="00EF56A7" w:rsidRDefault="00A52A62" w:rsidP="00845CB0">
      <w:pPr>
        <w:pStyle w:val="ListParagraph"/>
        <w:numPr>
          <w:ilvl w:val="1"/>
          <w:numId w:val="10"/>
        </w:numPr>
      </w:pPr>
      <w:r>
        <w:t>D</w:t>
      </w:r>
      <w:r w:rsidR="00D60475">
        <w:t xml:space="preserve">etermining a </w:t>
      </w:r>
      <w:r w:rsidR="002E3FB5">
        <w:t>co-</w:t>
      </w:r>
      <w:r w:rsidR="00D60475">
        <w:t xml:space="preserve">chair for </w:t>
      </w:r>
      <w:r w:rsidR="001E658F">
        <w:t xml:space="preserve">future </w:t>
      </w:r>
      <w:r w:rsidR="00A50003">
        <w:t>Roundtable</w:t>
      </w:r>
      <w:r w:rsidR="001E658F">
        <w:t xml:space="preserve">s. Due to the online nature of </w:t>
      </w:r>
      <w:r w:rsidR="002E3FB5">
        <w:t xml:space="preserve">this </w:t>
      </w:r>
      <w:r w:rsidR="00A50003">
        <w:t>Roundtable</w:t>
      </w:r>
      <w:r w:rsidR="001E658F">
        <w:t xml:space="preserve">, the ATO has been invited to co-chair, and an Industry Partner </w:t>
      </w:r>
      <w:r w:rsidR="00F973E0">
        <w:t xml:space="preserve">may </w:t>
      </w:r>
      <w:r w:rsidR="001E658F">
        <w:t xml:space="preserve">be invited </w:t>
      </w:r>
      <w:r w:rsidR="002E3FB5">
        <w:t xml:space="preserve">to co-chair </w:t>
      </w:r>
      <w:r w:rsidR="001E658F">
        <w:t xml:space="preserve">for future </w:t>
      </w:r>
      <w:r w:rsidR="00A50003">
        <w:t>Roundtable</w:t>
      </w:r>
      <w:r w:rsidR="001E658F">
        <w:t xml:space="preserve">s. </w:t>
      </w:r>
    </w:p>
    <w:p w14:paraId="29AB9107" w14:textId="5EB35388" w:rsidR="00A35F27" w:rsidRDefault="00A35F27" w:rsidP="00845CB0">
      <w:pPr>
        <w:pStyle w:val="ListParagraph"/>
        <w:numPr>
          <w:ilvl w:val="1"/>
          <w:numId w:val="10"/>
        </w:numPr>
      </w:pPr>
      <w:r>
        <w:t xml:space="preserve">Inviting Treasury to future </w:t>
      </w:r>
      <w:r w:rsidR="00A50003">
        <w:t>Roundtable</w:t>
      </w:r>
      <w:r>
        <w:t>s</w:t>
      </w:r>
      <w:r w:rsidR="00A52A62">
        <w:t>. This</w:t>
      </w:r>
      <w:r>
        <w:t xml:space="preserve"> is still </w:t>
      </w:r>
      <w:r w:rsidR="002E3FB5">
        <w:t xml:space="preserve">an outstanding item for action. </w:t>
      </w:r>
    </w:p>
    <w:p w14:paraId="2CB82938" w14:textId="126AEC23" w:rsidR="008311B3" w:rsidRDefault="008311B3" w:rsidP="001E6758">
      <w:pPr>
        <w:pStyle w:val="ListParagraph"/>
        <w:numPr>
          <w:ilvl w:val="0"/>
          <w:numId w:val="10"/>
        </w:numPr>
      </w:pPr>
      <w:r>
        <w:t xml:space="preserve">DISER and the ATO </w:t>
      </w:r>
      <w:r w:rsidR="002E3FB5">
        <w:t xml:space="preserve">have been working over the past 8-months to assist </w:t>
      </w:r>
      <w:r w:rsidR="00955AD8">
        <w:t>companies</w:t>
      </w:r>
      <w:r w:rsidR="002E3FB5">
        <w:t xml:space="preserve"> by</w:t>
      </w:r>
      <w:r>
        <w:t>;</w:t>
      </w:r>
    </w:p>
    <w:p w14:paraId="59A327AF" w14:textId="369A56AB" w:rsidR="00466887" w:rsidRDefault="008311B3" w:rsidP="008311B3">
      <w:pPr>
        <w:pStyle w:val="ListParagraph"/>
        <w:numPr>
          <w:ilvl w:val="1"/>
          <w:numId w:val="10"/>
        </w:numPr>
      </w:pPr>
      <w:r>
        <w:t xml:space="preserve">Extending the deadline </w:t>
      </w:r>
      <w:r w:rsidR="002B25AB">
        <w:t xml:space="preserve">to submit </w:t>
      </w:r>
      <w:r w:rsidR="00357303">
        <w:t xml:space="preserve">2018-19 </w:t>
      </w:r>
      <w:r w:rsidR="002E3FB5">
        <w:t xml:space="preserve">R&amp;DTI </w:t>
      </w:r>
      <w:r w:rsidR="002B25AB">
        <w:t>applications from 30 April</w:t>
      </w:r>
      <w:r w:rsidR="002E3FB5">
        <w:t xml:space="preserve"> 2020</w:t>
      </w:r>
      <w:r w:rsidR="002B25AB">
        <w:t xml:space="preserve"> to 30 September</w:t>
      </w:r>
      <w:r w:rsidR="002E3FB5">
        <w:t xml:space="preserve"> 2020</w:t>
      </w:r>
      <w:r w:rsidR="002B25AB">
        <w:t xml:space="preserve">. This </w:t>
      </w:r>
      <w:r w:rsidR="00DF3E32">
        <w:t xml:space="preserve">has </w:t>
      </w:r>
      <w:r w:rsidR="002B25AB">
        <w:t xml:space="preserve">also </w:t>
      </w:r>
      <w:r w:rsidR="00DF3E32">
        <w:t>been</w:t>
      </w:r>
      <w:r w:rsidR="002B25AB">
        <w:t xml:space="preserve"> applied to companies with substituted accounting periods</w:t>
      </w:r>
      <w:r w:rsidR="00357303">
        <w:t xml:space="preserve"> ending up to 30 September 2019</w:t>
      </w:r>
      <w:r w:rsidR="002B25AB">
        <w:t>, with a 5</w:t>
      </w:r>
      <w:r w:rsidR="00DF3E32">
        <w:t>-</w:t>
      </w:r>
      <w:r w:rsidR="002B25AB">
        <w:t>month extension period</w:t>
      </w:r>
      <w:r w:rsidR="00357303">
        <w:t xml:space="preserve"> to lodge up to 30 </w:t>
      </w:r>
      <w:r w:rsidR="002E4AC3">
        <w:t>December 2020</w:t>
      </w:r>
      <w:r w:rsidR="002B25AB">
        <w:t>.</w:t>
      </w:r>
    </w:p>
    <w:p w14:paraId="562F1FC8" w14:textId="132E7790" w:rsidR="002B25AB" w:rsidRDefault="002B25AB" w:rsidP="008311B3">
      <w:pPr>
        <w:pStyle w:val="ListParagraph"/>
        <w:numPr>
          <w:ilvl w:val="1"/>
          <w:numId w:val="10"/>
        </w:numPr>
      </w:pPr>
      <w:r>
        <w:t>Accepting provisional applications for Advance and Overseas findings</w:t>
      </w:r>
      <w:r w:rsidR="002A5003">
        <w:t xml:space="preserve"> until </w:t>
      </w:r>
      <w:r w:rsidR="006653BB">
        <w:t xml:space="preserve">30 </w:t>
      </w:r>
      <w:r w:rsidR="002A5003">
        <w:t xml:space="preserve">June </w:t>
      </w:r>
      <w:r w:rsidR="00DF3E32">
        <w:t>2020</w:t>
      </w:r>
      <w:r w:rsidR="002A5003">
        <w:t xml:space="preserve">, with </w:t>
      </w:r>
      <w:r w:rsidR="008B0FBB">
        <w:t>remaining</w:t>
      </w:r>
      <w:r w:rsidR="002A5003">
        <w:t xml:space="preserve"> information to be provided by 30 September</w:t>
      </w:r>
      <w:r w:rsidR="00DF3E32">
        <w:t xml:space="preserve"> 2020</w:t>
      </w:r>
      <w:r w:rsidR="002A5003">
        <w:t>.</w:t>
      </w:r>
    </w:p>
    <w:p w14:paraId="54C37968" w14:textId="77777777" w:rsidR="00EE2806" w:rsidRDefault="00EE2806" w:rsidP="00EE2806">
      <w:pPr>
        <w:pStyle w:val="ListParagraph"/>
        <w:numPr>
          <w:ilvl w:val="1"/>
          <w:numId w:val="10"/>
        </w:numPr>
      </w:pPr>
      <w:r w:rsidRPr="00EE2806">
        <w:t xml:space="preserve">Applying the Integrity Framework Principles to work with companies constructively in a forward facing manner </w:t>
      </w:r>
    </w:p>
    <w:p w14:paraId="50618361" w14:textId="6A15769A" w:rsidR="004F65E7" w:rsidRDefault="004F65E7" w:rsidP="00EE2806">
      <w:pPr>
        <w:pStyle w:val="ListParagraph"/>
        <w:numPr>
          <w:ilvl w:val="0"/>
          <w:numId w:val="10"/>
        </w:numPr>
      </w:pPr>
      <w:r>
        <w:t xml:space="preserve">A number of new </w:t>
      </w:r>
      <w:r w:rsidR="00A57A79">
        <w:t>c</w:t>
      </w:r>
      <w:r>
        <w:t xml:space="preserve">ommunications </w:t>
      </w:r>
      <w:r w:rsidR="00A57A79">
        <w:t xml:space="preserve">products </w:t>
      </w:r>
      <w:r>
        <w:t xml:space="preserve">have </w:t>
      </w:r>
      <w:r w:rsidR="00A57A79">
        <w:t xml:space="preserve">recently </w:t>
      </w:r>
      <w:r>
        <w:t>been released</w:t>
      </w:r>
      <w:r w:rsidR="008D62E1">
        <w:t xml:space="preserve"> by DISER</w:t>
      </w:r>
      <w:r>
        <w:t>, including;</w:t>
      </w:r>
    </w:p>
    <w:p w14:paraId="7AA47ACA" w14:textId="0CD970AB" w:rsidR="004F65E7" w:rsidRDefault="004F65E7" w:rsidP="004F65E7">
      <w:pPr>
        <w:pStyle w:val="ListParagraph"/>
        <w:numPr>
          <w:ilvl w:val="1"/>
          <w:numId w:val="10"/>
        </w:numPr>
      </w:pPr>
      <w:r>
        <w:t xml:space="preserve">A </w:t>
      </w:r>
      <w:r w:rsidR="00392179">
        <w:t>refreshed</w:t>
      </w:r>
      <w:r>
        <w:t xml:space="preserve"> ‘At a glance’ brochure</w:t>
      </w:r>
    </w:p>
    <w:p w14:paraId="64412E02" w14:textId="78AD98E4" w:rsidR="004F65E7" w:rsidRDefault="004F65E7" w:rsidP="004F65E7">
      <w:pPr>
        <w:pStyle w:val="ListParagraph"/>
        <w:numPr>
          <w:ilvl w:val="1"/>
          <w:numId w:val="10"/>
        </w:numPr>
      </w:pPr>
      <w:r>
        <w:t>A Podcast due to be release</w:t>
      </w:r>
      <w:r w:rsidR="00FD006B">
        <w:t>d</w:t>
      </w:r>
      <w:r>
        <w:t xml:space="preserve"> </w:t>
      </w:r>
      <w:r w:rsidR="00FD006B">
        <w:t>in the</w:t>
      </w:r>
      <w:r>
        <w:t xml:space="preserve"> week </w:t>
      </w:r>
      <w:r w:rsidR="00FD006B">
        <w:t>of</w:t>
      </w:r>
      <w:r>
        <w:t xml:space="preserve"> 10 August</w:t>
      </w:r>
      <w:r w:rsidR="00DF3E32">
        <w:t xml:space="preserve"> 2020</w:t>
      </w:r>
    </w:p>
    <w:p w14:paraId="09561709" w14:textId="1B5F1EEE" w:rsidR="004F65E7" w:rsidRDefault="004F65E7" w:rsidP="004F65E7">
      <w:pPr>
        <w:pStyle w:val="ListParagraph"/>
        <w:numPr>
          <w:ilvl w:val="1"/>
          <w:numId w:val="10"/>
        </w:numPr>
      </w:pPr>
      <w:r>
        <w:t xml:space="preserve">A program overview animation to be released </w:t>
      </w:r>
      <w:r w:rsidR="00FD006B">
        <w:t xml:space="preserve">at the </w:t>
      </w:r>
      <w:r>
        <w:t>end of August</w:t>
      </w:r>
      <w:r w:rsidR="00DF3E32">
        <w:t xml:space="preserve"> 2020.</w:t>
      </w:r>
    </w:p>
    <w:p w14:paraId="009397B0" w14:textId="77777777" w:rsidR="00EF3FF1" w:rsidRDefault="00EF3FF1" w:rsidP="00EF3FF1">
      <w:pPr>
        <w:pStyle w:val="ListParagraph"/>
        <w:ind w:left="1440"/>
      </w:pPr>
    </w:p>
    <w:p w14:paraId="7ABF286F" w14:textId="77777777" w:rsidR="00EB1E2A" w:rsidRDefault="00EB1E2A" w:rsidP="00EF3FF1">
      <w:pPr>
        <w:pStyle w:val="ListParagraph"/>
        <w:ind w:left="1440"/>
      </w:pPr>
    </w:p>
    <w:p w14:paraId="5B207277" w14:textId="1F8D02FC" w:rsidR="00815C74" w:rsidRPr="00815C74" w:rsidRDefault="00845CB0" w:rsidP="008E2037">
      <w:pPr>
        <w:pStyle w:val="Heading2"/>
      </w:pPr>
      <w:r>
        <w:t xml:space="preserve">Policy </w:t>
      </w:r>
      <w:r w:rsidR="0017496A" w:rsidRPr="003B4E44">
        <w:t xml:space="preserve">Update </w:t>
      </w:r>
    </w:p>
    <w:p w14:paraId="2EE43707" w14:textId="01AE5B83" w:rsidR="00DF3E32" w:rsidRDefault="00C66F3C" w:rsidP="00470329">
      <w:pPr>
        <w:pStyle w:val="ListParagraph"/>
        <w:numPr>
          <w:ilvl w:val="0"/>
          <w:numId w:val="11"/>
        </w:numPr>
      </w:pPr>
      <w:r>
        <w:t>T</w:t>
      </w:r>
      <w:r w:rsidR="00470329">
        <w:t xml:space="preserve">he Treasury Laws Amendment (Research and Development Tax Incentive) Bill 2019 introduced </w:t>
      </w:r>
      <w:r>
        <w:t xml:space="preserve">R&amp;D Tax Incentive reforms </w:t>
      </w:r>
      <w:r w:rsidR="00DF3E32">
        <w:t>in</w:t>
      </w:r>
      <w:r w:rsidR="00470329">
        <w:t>to Parliament</w:t>
      </w:r>
      <w:r w:rsidRPr="00C66F3C">
        <w:t xml:space="preserve"> </w:t>
      </w:r>
      <w:r>
        <w:t>on 5 December 2019</w:t>
      </w:r>
      <w:r w:rsidR="00470329">
        <w:t xml:space="preserve">. </w:t>
      </w:r>
    </w:p>
    <w:p w14:paraId="3BA24226" w14:textId="1B88141F" w:rsidR="00470329" w:rsidRDefault="00470329" w:rsidP="006A2D2F">
      <w:pPr>
        <w:pStyle w:val="ListParagraph"/>
        <w:numPr>
          <w:ilvl w:val="1"/>
          <w:numId w:val="11"/>
        </w:numPr>
      </w:pPr>
      <w:r>
        <w:t>These</w:t>
      </w:r>
      <w:r w:rsidR="00DF3E32">
        <w:t xml:space="preserve"> proposed</w:t>
      </w:r>
      <w:r>
        <w:t xml:space="preserve"> </w:t>
      </w:r>
      <w:r w:rsidR="00C66F3C">
        <w:t>reforms</w:t>
      </w:r>
      <w:r>
        <w:t xml:space="preserve"> take into account the recommendations of the 2019 Senate Inquiry and made two changes</w:t>
      </w:r>
      <w:r w:rsidR="00C66F3C">
        <w:t xml:space="preserve"> – delaying the start date and simplifying the R&amp;D intensity measure</w:t>
      </w:r>
      <w:r>
        <w:t>.</w:t>
      </w:r>
    </w:p>
    <w:p w14:paraId="0B374FE2" w14:textId="50C4EEA3" w:rsidR="00B958C3" w:rsidRDefault="00470329" w:rsidP="0082478C">
      <w:pPr>
        <w:pStyle w:val="ListParagraph"/>
        <w:numPr>
          <w:ilvl w:val="0"/>
          <w:numId w:val="11"/>
        </w:numPr>
      </w:pPr>
      <w:r>
        <w:t xml:space="preserve">The Senate Inquiry was due to report </w:t>
      </w:r>
      <w:r w:rsidR="00DF3E32">
        <w:t>on</w:t>
      </w:r>
      <w:r>
        <w:t xml:space="preserve"> Friday </w:t>
      </w:r>
      <w:r w:rsidR="00DF3E32">
        <w:t xml:space="preserve">7 August 2020, however, on 4 August 2020, </w:t>
      </w:r>
      <w:r w:rsidR="00CB055D">
        <w:t xml:space="preserve">it was announced </w:t>
      </w:r>
      <w:r w:rsidR="00DF3E32">
        <w:t xml:space="preserve">that </w:t>
      </w:r>
      <w:r w:rsidR="00CB055D">
        <w:t>this would be d</w:t>
      </w:r>
      <w:r w:rsidR="00B90453">
        <w:t>elayed</w:t>
      </w:r>
      <w:r w:rsidR="00CB055D">
        <w:t xml:space="preserve"> until 24</w:t>
      </w:r>
      <w:r w:rsidR="00DF3E32">
        <w:t xml:space="preserve"> </w:t>
      </w:r>
      <w:r w:rsidR="00CB055D">
        <w:t>August</w:t>
      </w:r>
      <w:r w:rsidR="00DF3E32">
        <w:t xml:space="preserve"> 2020</w:t>
      </w:r>
      <w:r w:rsidR="00CB055D">
        <w:t>.</w:t>
      </w:r>
      <w:r w:rsidR="00E164F5">
        <w:t xml:space="preserve"> </w:t>
      </w:r>
      <w:r w:rsidR="00E164F5" w:rsidRPr="008676E2">
        <w:rPr>
          <w:b/>
        </w:rPr>
        <w:t>Note</w:t>
      </w:r>
      <w:r w:rsidR="00E164F5">
        <w:t>: The report has since been pushed back to 12 October 2020</w:t>
      </w:r>
    </w:p>
    <w:p w14:paraId="5C82B8ED" w14:textId="64004A1F" w:rsidR="00EF3FF1" w:rsidRDefault="004F65E7" w:rsidP="0082478C">
      <w:pPr>
        <w:pStyle w:val="ListParagraph"/>
        <w:numPr>
          <w:ilvl w:val="0"/>
          <w:numId w:val="11"/>
        </w:numPr>
      </w:pPr>
      <w:r>
        <w:lastRenderedPageBreak/>
        <w:t xml:space="preserve">In pursuing the reforms, the Government will consider the outcomes of the Senate inquiry </w:t>
      </w:r>
      <w:r w:rsidR="00A57A79">
        <w:t xml:space="preserve">once </w:t>
      </w:r>
      <w:r w:rsidR="00294EE7">
        <w:t xml:space="preserve">it </w:t>
      </w:r>
      <w:r>
        <w:t>make</w:t>
      </w:r>
      <w:r w:rsidR="00294EE7">
        <w:t>s its</w:t>
      </w:r>
      <w:r>
        <w:t xml:space="preserve"> findings known.</w:t>
      </w:r>
    </w:p>
    <w:p w14:paraId="6E7D510B" w14:textId="77777777" w:rsidR="00E6098F" w:rsidRDefault="00E6098F" w:rsidP="006A2D2F">
      <w:pPr>
        <w:pStyle w:val="ListParagraph"/>
      </w:pPr>
    </w:p>
    <w:p w14:paraId="102B4FD9" w14:textId="1E1AB2D4" w:rsidR="005660B5" w:rsidRPr="008853E6" w:rsidRDefault="00845CB0" w:rsidP="008E2037">
      <w:pPr>
        <w:pStyle w:val="Heading2"/>
      </w:pPr>
      <w:r w:rsidRPr="005660B5">
        <w:t xml:space="preserve">Update on State Reference Groups (SRGs) </w:t>
      </w:r>
    </w:p>
    <w:p w14:paraId="026C1D1F" w14:textId="5E8B6523" w:rsidR="008D62E1" w:rsidRDefault="008D62E1" w:rsidP="00DA01E4">
      <w:pPr>
        <w:pStyle w:val="ListParagraph"/>
        <w:numPr>
          <w:ilvl w:val="0"/>
          <w:numId w:val="11"/>
        </w:numPr>
      </w:pPr>
      <w:r w:rsidRPr="006B1F83">
        <w:t xml:space="preserve">SRGs were held in NSW, VIC, QLD, SA and WA throughout </w:t>
      </w:r>
      <w:r>
        <w:t>February</w:t>
      </w:r>
      <w:r w:rsidR="00A57A79">
        <w:t xml:space="preserve"> and March 2020</w:t>
      </w:r>
    </w:p>
    <w:p w14:paraId="75FE679B" w14:textId="4FB9B952" w:rsidR="008D62E1" w:rsidRDefault="008D62E1" w:rsidP="008D62E1">
      <w:pPr>
        <w:pStyle w:val="ListParagraph"/>
        <w:numPr>
          <w:ilvl w:val="0"/>
          <w:numId w:val="11"/>
        </w:numPr>
      </w:pPr>
      <w:r>
        <w:t xml:space="preserve">The main </w:t>
      </w:r>
      <w:r w:rsidR="00A57A79">
        <w:t>items for</w:t>
      </w:r>
      <w:r>
        <w:t xml:space="preserve"> discussion at the S</w:t>
      </w:r>
      <w:r w:rsidR="00DF3E32">
        <w:t xml:space="preserve">RGs were: </w:t>
      </w:r>
    </w:p>
    <w:p w14:paraId="3BD98B10" w14:textId="23075209" w:rsidR="008D62E1" w:rsidRDefault="008D62E1" w:rsidP="008D62E1">
      <w:pPr>
        <w:pStyle w:val="ListParagraph"/>
        <w:numPr>
          <w:ilvl w:val="1"/>
          <w:numId w:val="11"/>
        </w:numPr>
      </w:pPr>
      <w:r>
        <w:t xml:space="preserve">R&amp;DTI </w:t>
      </w:r>
      <w:r w:rsidR="00DF3E32">
        <w:t>f</w:t>
      </w:r>
      <w:r>
        <w:t xml:space="preserve">acts and figures </w:t>
      </w:r>
    </w:p>
    <w:p w14:paraId="23B8B211" w14:textId="77777777" w:rsidR="008D62E1" w:rsidRDefault="008D62E1" w:rsidP="008D62E1">
      <w:pPr>
        <w:pStyle w:val="ListParagraph"/>
        <w:numPr>
          <w:ilvl w:val="1"/>
          <w:numId w:val="11"/>
        </w:numPr>
      </w:pPr>
      <w:r>
        <w:t>The Integrity Framework</w:t>
      </w:r>
    </w:p>
    <w:p w14:paraId="7F93F410" w14:textId="6AE2F58A" w:rsidR="008D62E1" w:rsidRDefault="008D62E1" w:rsidP="008D62E1">
      <w:pPr>
        <w:pStyle w:val="ListParagraph"/>
        <w:numPr>
          <w:ilvl w:val="1"/>
          <w:numId w:val="11"/>
        </w:numPr>
      </w:pPr>
      <w:r>
        <w:t xml:space="preserve">Federal Court Judgement on Moreton and the impact </w:t>
      </w:r>
    </w:p>
    <w:p w14:paraId="6A070B5C" w14:textId="39072CFA" w:rsidR="008D62E1" w:rsidRDefault="00DF3E32" w:rsidP="008D62E1">
      <w:pPr>
        <w:pStyle w:val="ListParagraph"/>
        <w:numPr>
          <w:ilvl w:val="1"/>
          <w:numId w:val="11"/>
        </w:numPr>
      </w:pPr>
      <w:r>
        <w:t>W</w:t>
      </w:r>
      <w:r w:rsidR="008D62E1">
        <w:t>rap up of the previous yea</w:t>
      </w:r>
      <w:r w:rsidR="006A2D2F">
        <w:t>r</w:t>
      </w:r>
      <w:r w:rsidR="00602941">
        <w:t>’s achievements.</w:t>
      </w:r>
    </w:p>
    <w:p w14:paraId="2B4BCAE0" w14:textId="17B977A7" w:rsidR="008D62E1" w:rsidRDefault="008D62E1" w:rsidP="008D62E1">
      <w:pPr>
        <w:pStyle w:val="ListParagraph"/>
        <w:numPr>
          <w:ilvl w:val="0"/>
          <w:numId w:val="11"/>
        </w:numPr>
      </w:pPr>
      <w:r>
        <w:t xml:space="preserve">Feedback received from </w:t>
      </w:r>
      <w:r w:rsidR="00DF3E32">
        <w:t>SRGs</w:t>
      </w:r>
      <w:r>
        <w:t xml:space="preserve"> on </w:t>
      </w:r>
      <w:r w:rsidR="00A57A79">
        <w:t>items for discussion, included:</w:t>
      </w:r>
      <w:r>
        <w:t xml:space="preserve"> </w:t>
      </w:r>
    </w:p>
    <w:p w14:paraId="15B2AFEC" w14:textId="004CA83A" w:rsidR="008D62E1" w:rsidRDefault="008D62E1" w:rsidP="008D62E1">
      <w:pPr>
        <w:pStyle w:val="ListParagraph"/>
        <w:numPr>
          <w:ilvl w:val="1"/>
          <w:numId w:val="11"/>
        </w:numPr>
      </w:pPr>
      <w:r>
        <w:t xml:space="preserve">The application of the User Journey, Integrity </w:t>
      </w:r>
      <w:r w:rsidR="00DF3E32">
        <w:t>F</w:t>
      </w:r>
      <w:r>
        <w:t>ramework, and Program updates</w:t>
      </w:r>
      <w:r w:rsidR="00A775B4">
        <w:t>.</w:t>
      </w:r>
    </w:p>
    <w:p w14:paraId="03139B39" w14:textId="480BAA28" w:rsidR="008D62E1" w:rsidRDefault="008D62E1" w:rsidP="008D62E1">
      <w:pPr>
        <w:pStyle w:val="ListParagraph"/>
        <w:numPr>
          <w:ilvl w:val="1"/>
          <w:numId w:val="11"/>
        </w:numPr>
      </w:pPr>
      <w:r>
        <w:t xml:space="preserve">Engagement during the compliance process, and touch points throughout the </w:t>
      </w:r>
      <w:r w:rsidR="00DF3E32">
        <w:t>U</w:t>
      </w:r>
      <w:r>
        <w:t xml:space="preserve">ser </w:t>
      </w:r>
      <w:r w:rsidR="00DF3E32">
        <w:t>J</w:t>
      </w:r>
      <w:r>
        <w:t>ourney</w:t>
      </w:r>
    </w:p>
    <w:p w14:paraId="22368CCF" w14:textId="2F2C53C8" w:rsidR="008D62E1" w:rsidRDefault="008D62E1" w:rsidP="008D62E1">
      <w:pPr>
        <w:pStyle w:val="ListParagraph"/>
        <w:numPr>
          <w:ilvl w:val="1"/>
          <w:numId w:val="11"/>
        </w:numPr>
      </w:pPr>
      <w:r>
        <w:t xml:space="preserve">The retrospective application of the Moreton decision to old cases. </w:t>
      </w:r>
    </w:p>
    <w:p w14:paraId="1482C77E" w14:textId="6FFB0D8F" w:rsidR="008D62E1" w:rsidRDefault="00774F8B" w:rsidP="006A6710">
      <w:pPr>
        <w:pStyle w:val="ListParagraph"/>
        <w:numPr>
          <w:ilvl w:val="0"/>
          <w:numId w:val="11"/>
        </w:numPr>
      </w:pPr>
      <w:r>
        <w:t xml:space="preserve">The next round of SRGs </w:t>
      </w:r>
      <w:r w:rsidR="00A57A79">
        <w:t>are</w:t>
      </w:r>
      <w:r>
        <w:t xml:space="preserve"> planned to be held virtually in the coming months</w:t>
      </w:r>
      <w:r w:rsidR="00A57A79">
        <w:t xml:space="preserve"> (September and October 2020)</w:t>
      </w:r>
      <w:r>
        <w:t xml:space="preserve">, with dates to be </w:t>
      </w:r>
      <w:r w:rsidR="00A57A79">
        <w:t>confirmed</w:t>
      </w:r>
      <w:r w:rsidR="00A775B4">
        <w:t>.</w:t>
      </w:r>
    </w:p>
    <w:p w14:paraId="2532BB33" w14:textId="3193D672" w:rsidR="00A57A79" w:rsidRDefault="00A775B4" w:rsidP="006A6710">
      <w:pPr>
        <w:pStyle w:val="ListParagraph"/>
        <w:numPr>
          <w:ilvl w:val="0"/>
          <w:numId w:val="11"/>
        </w:numPr>
      </w:pPr>
      <w:r>
        <w:t xml:space="preserve">Roundtable </w:t>
      </w:r>
      <w:r w:rsidR="00A57A79">
        <w:t>members also raised:</w:t>
      </w:r>
    </w:p>
    <w:p w14:paraId="77DE7816" w14:textId="0E0BEC4C" w:rsidR="00EF3FF1" w:rsidRDefault="00A57A79" w:rsidP="009F5C84">
      <w:pPr>
        <w:pStyle w:val="ListParagraph"/>
        <w:numPr>
          <w:ilvl w:val="1"/>
          <w:numId w:val="11"/>
        </w:numPr>
      </w:pPr>
      <w:r>
        <w:t>T</w:t>
      </w:r>
      <w:r w:rsidR="00EF3FF1">
        <w:t xml:space="preserve">he </w:t>
      </w:r>
      <w:r w:rsidR="005A7109">
        <w:t xml:space="preserve">Moreton Resources matter </w:t>
      </w:r>
      <w:r>
        <w:t xml:space="preserve">and if this </w:t>
      </w:r>
      <w:r w:rsidR="005A7109">
        <w:t>was back before the AAT.</w:t>
      </w:r>
    </w:p>
    <w:p w14:paraId="4CBCA158" w14:textId="1FAC6B89" w:rsidR="00471303" w:rsidRDefault="00A57A79" w:rsidP="00C17F05">
      <w:pPr>
        <w:pStyle w:val="ListParagraph"/>
        <w:numPr>
          <w:ilvl w:val="1"/>
          <w:numId w:val="11"/>
        </w:numPr>
      </w:pPr>
      <w:r>
        <w:t>I</w:t>
      </w:r>
      <w:r w:rsidR="005A7109">
        <w:t xml:space="preserve">f </w:t>
      </w:r>
      <w:r>
        <w:t>DISER</w:t>
      </w:r>
      <w:r w:rsidR="005A7109">
        <w:t xml:space="preserve"> w</w:t>
      </w:r>
      <w:r>
        <w:t xml:space="preserve">as </w:t>
      </w:r>
      <w:r w:rsidR="005A7109">
        <w:t>able to share the n</w:t>
      </w:r>
      <w:r w:rsidR="00EF3FF1">
        <w:t xml:space="preserve">umber of current </w:t>
      </w:r>
      <w:r w:rsidR="005A7109">
        <w:t>litigation</w:t>
      </w:r>
      <w:r w:rsidR="00EF3FF1">
        <w:t xml:space="preserve"> cases, </w:t>
      </w:r>
      <w:r>
        <w:t xml:space="preserve">the </w:t>
      </w:r>
      <w:r w:rsidR="00EF3FF1">
        <w:t xml:space="preserve">number of </w:t>
      </w:r>
      <w:r>
        <w:t xml:space="preserve">active </w:t>
      </w:r>
      <w:r w:rsidR="00EF3FF1">
        <w:t>review</w:t>
      </w:r>
      <w:r>
        <w:t>s</w:t>
      </w:r>
      <w:r w:rsidR="00EF3FF1">
        <w:t>, and if there are any compl</w:t>
      </w:r>
      <w:r w:rsidR="005A7109">
        <w:t xml:space="preserve">iance concerns DISER is aware of. </w:t>
      </w:r>
    </w:p>
    <w:p w14:paraId="17B63649" w14:textId="46FDF80D" w:rsidR="00EC67AF" w:rsidRDefault="00471303" w:rsidP="00C17F05">
      <w:pPr>
        <w:pStyle w:val="ListParagraph"/>
        <w:numPr>
          <w:ilvl w:val="3"/>
          <w:numId w:val="11"/>
        </w:numPr>
      </w:pPr>
      <w:r>
        <w:t xml:space="preserve">DISER advised that we are unable to discuss active matters, or departmental figures until published. </w:t>
      </w:r>
    </w:p>
    <w:p w14:paraId="5A7F80DD" w14:textId="77777777" w:rsidR="00EF3FF1" w:rsidRDefault="00EF3FF1" w:rsidP="00EC67AF">
      <w:pPr>
        <w:spacing w:after="0" w:line="240" w:lineRule="auto"/>
      </w:pPr>
    </w:p>
    <w:p w14:paraId="043DA166" w14:textId="4979654C" w:rsidR="0017496A" w:rsidRPr="001F4363" w:rsidRDefault="002E28D8" w:rsidP="008E2037">
      <w:pPr>
        <w:pStyle w:val="Heading2"/>
      </w:pPr>
      <w:r>
        <w:t xml:space="preserve">R&amp;DTI Helping </w:t>
      </w:r>
      <w:r w:rsidR="00A775B4">
        <w:t>B</w:t>
      </w:r>
      <w:r>
        <w:t xml:space="preserve">usinesses </w:t>
      </w:r>
      <w:r w:rsidR="00636AAC">
        <w:t>during</w:t>
      </w:r>
      <w:r>
        <w:t xml:space="preserve"> </w:t>
      </w:r>
      <w:r w:rsidR="00A775B4">
        <w:t>C</w:t>
      </w:r>
      <w:r>
        <w:t xml:space="preserve">hallenging </w:t>
      </w:r>
      <w:r w:rsidR="00A775B4">
        <w:t>T</w:t>
      </w:r>
      <w:r>
        <w:t xml:space="preserve">imes. </w:t>
      </w:r>
    </w:p>
    <w:p w14:paraId="10FB57D8" w14:textId="5DE283DE" w:rsidR="002E28D8" w:rsidRDefault="002E28D8" w:rsidP="002E28D8">
      <w:pPr>
        <w:pStyle w:val="ListParagraph"/>
        <w:numPr>
          <w:ilvl w:val="0"/>
          <w:numId w:val="42"/>
        </w:numPr>
      </w:pPr>
      <w:r>
        <w:t xml:space="preserve">Prior to the </w:t>
      </w:r>
      <w:r w:rsidR="00A50003">
        <w:t>Roundtable</w:t>
      </w:r>
      <w:r>
        <w:t>s, members were provided questions to prompt discussion around ke</w:t>
      </w:r>
      <w:r w:rsidR="00DB5780">
        <w:t xml:space="preserve">y issues facing the R&amp;D sector and companies during the COVID-19 </w:t>
      </w:r>
      <w:proofErr w:type="gramStart"/>
      <w:r w:rsidR="00A775B4">
        <w:t>p</w:t>
      </w:r>
      <w:r w:rsidR="00DB5780">
        <w:t>andemic</w:t>
      </w:r>
      <w:r w:rsidR="00252584">
        <w:t>.</w:t>
      </w:r>
      <w:proofErr w:type="gramEnd"/>
    </w:p>
    <w:p w14:paraId="15F8632E" w14:textId="1905F1B3" w:rsidR="002E28D8" w:rsidRDefault="002E28D8" w:rsidP="002E28D8">
      <w:pPr>
        <w:pStyle w:val="ListParagraph"/>
        <w:numPr>
          <w:ilvl w:val="0"/>
          <w:numId w:val="42"/>
        </w:numPr>
      </w:pPr>
      <w:r>
        <w:t xml:space="preserve">The questions were: </w:t>
      </w:r>
    </w:p>
    <w:p w14:paraId="6D896D7B" w14:textId="77777777" w:rsidR="002E28D8" w:rsidRPr="00074B44" w:rsidRDefault="002E28D8" w:rsidP="002E28D8">
      <w:pPr>
        <w:pStyle w:val="ListParagraph"/>
        <w:numPr>
          <w:ilvl w:val="1"/>
          <w:numId w:val="42"/>
        </w:numPr>
        <w:spacing w:after="160"/>
        <w:rPr>
          <w:i/>
        </w:rPr>
      </w:pPr>
      <w:r w:rsidRPr="00074B44">
        <w:rPr>
          <w:i/>
        </w:rPr>
        <w:t xml:space="preserve">How do you see companies engaging with the program under current pandemic situation? </w:t>
      </w:r>
    </w:p>
    <w:p w14:paraId="4C39FEE5" w14:textId="77777777" w:rsidR="002E28D8" w:rsidRPr="00074B44" w:rsidRDefault="002E28D8" w:rsidP="002E28D8">
      <w:pPr>
        <w:pStyle w:val="ListParagraph"/>
        <w:numPr>
          <w:ilvl w:val="1"/>
          <w:numId w:val="42"/>
        </w:numPr>
        <w:spacing w:after="160"/>
        <w:rPr>
          <w:i/>
        </w:rPr>
      </w:pPr>
      <w:r w:rsidRPr="00074B44">
        <w:rPr>
          <w:i/>
        </w:rPr>
        <w:t xml:space="preserve">How are companies interacting with R&amp;D under COVID circumstances? </w:t>
      </w:r>
    </w:p>
    <w:p w14:paraId="67F470BB" w14:textId="77777777" w:rsidR="002E28D8" w:rsidRPr="00074B44" w:rsidRDefault="002E28D8" w:rsidP="002E28D8">
      <w:pPr>
        <w:pStyle w:val="ListParagraph"/>
        <w:numPr>
          <w:ilvl w:val="1"/>
          <w:numId w:val="42"/>
        </w:numPr>
        <w:spacing w:after="160"/>
        <w:rPr>
          <w:i/>
        </w:rPr>
      </w:pPr>
      <w:r w:rsidRPr="00074B44">
        <w:rPr>
          <w:i/>
        </w:rPr>
        <w:t>What more can DISER and the ATO do to support companies through COVID-19?</w:t>
      </w:r>
    </w:p>
    <w:p w14:paraId="27959219" w14:textId="55E9B723" w:rsidR="002E28D8" w:rsidRPr="00074B44" w:rsidRDefault="002E28D8" w:rsidP="002E28D8">
      <w:pPr>
        <w:pStyle w:val="ListParagraph"/>
        <w:numPr>
          <w:ilvl w:val="1"/>
          <w:numId w:val="42"/>
        </w:numPr>
        <w:spacing w:after="160"/>
        <w:rPr>
          <w:i/>
        </w:rPr>
      </w:pPr>
      <w:r w:rsidRPr="00074B44">
        <w:rPr>
          <w:i/>
        </w:rPr>
        <w:t xml:space="preserve">Is there anything else you’d like to bring up while you have DISER/ATO here?  </w:t>
      </w:r>
    </w:p>
    <w:p w14:paraId="57DDD27D" w14:textId="02238B3E" w:rsidR="00ED6F63" w:rsidRDefault="00DA01E4" w:rsidP="00B91F29">
      <w:pPr>
        <w:pStyle w:val="ListParagraph"/>
        <w:numPr>
          <w:ilvl w:val="0"/>
          <w:numId w:val="42"/>
        </w:numPr>
      </w:pPr>
      <w:r>
        <w:t>In response to the questions, m</w:t>
      </w:r>
      <w:r w:rsidR="00252584">
        <w:t xml:space="preserve">embers </w:t>
      </w:r>
      <w:r w:rsidR="00A775B4">
        <w:t xml:space="preserve">discussed </w:t>
      </w:r>
      <w:r w:rsidR="00252584">
        <w:t>key issues</w:t>
      </w:r>
      <w:r w:rsidR="00A57A79">
        <w:t>, including:</w:t>
      </w:r>
    </w:p>
    <w:p w14:paraId="3E99174C" w14:textId="064C7F41" w:rsidR="00ED6F63" w:rsidRPr="00074B44" w:rsidRDefault="00ED6F63" w:rsidP="00ED6F63">
      <w:pPr>
        <w:pStyle w:val="ListParagraph"/>
        <w:numPr>
          <w:ilvl w:val="0"/>
          <w:numId w:val="49"/>
        </w:numPr>
        <w:rPr>
          <w:u w:val="single"/>
        </w:rPr>
      </w:pPr>
      <w:r w:rsidRPr="00074B44">
        <w:rPr>
          <w:u w:val="single"/>
        </w:rPr>
        <w:t xml:space="preserve">Gratitude </w:t>
      </w:r>
      <w:r w:rsidRPr="00D80243">
        <w:rPr>
          <w:u w:val="single"/>
        </w:rPr>
        <w:t>regarding the</w:t>
      </w:r>
      <w:r w:rsidRPr="00074B44">
        <w:rPr>
          <w:u w:val="single"/>
        </w:rPr>
        <w:t xml:space="preserve"> departments</w:t>
      </w:r>
      <w:r w:rsidRPr="00D80243">
        <w:rPr>
          <w:u w:val="single"/>
        </w:rPr>
        <w:t xml:space="preserve">’ handling of </w:t>
      </w:r>
      <w:r w:rsidR="00F973E0">
        <w:rPr>
          <w:u w:val="single"/>
        </w:rPr>
        <w:t xml:space="preserve">challenges posed by </w:t>
      </w:r>
      <w:r w:rsidRPr="00074B44">
        <w:rPr>
          <w:u w:val="single"/>
        </w:rPr>
        <w:t xml:space="preserve">COVID-19 and </w:t>
      </w:r>
      <w:r w:rsidR="00F973E0">
        <w:rPr>
          <w:u w:val="single"/>
        </w:rPr>
        <w:t>the January 2020 b</w:t>
      </w:r>
      <w:r w:rsidRPr="00074B44">
        <w:rPr>
          <w:u w:val="single"/>
        </w:rPr>
        <w:t xml:space="preserve">ushfires </w:t>
      </w:r>
    </w:p>
    <w:p w14:paraId="437CE05B" w14:textId="3AC89878" w:rsidR="00ED6F63" w:rsidRDefault="00ED6F63" w:rsidP="0077583E">
      <w:pPr>
        <w:pStyle w:val="ListParagraph"/>
        <w:numPr>
          <w:ilvl w:val="2"/>
          <w:numId w:val="42"/>
        </w:numPr>
      </w:pPr>
      <w:r w:rsidRPr="001C5D2F">
        <w:t>Members commended the</w:t>
      </w:r>
      <w:r>
        <w:t xml:space="preserve"> Department</w:t>
      </w:r>
      <w:r w:rsidR="00F973E0">
        <w:t>’</w:t>
      </w:r>
      <w:r>
        <w:t>s</w:t>
      </w:r>
      <w:r w:rsidRPr="001C5D2F">
        <w:t xml:space="preserve"> proactive</w:t>
      </w:r>
      <w:r>
        <w:t xml:space="preserve"> and balanced approach when engaging with registrant</w:t>
      </w:r>
      <w:r w:rsidR="009034E1">
        <w:t>s and gratitude of continuation of c</w:t>
      </w:r>
      <w:r>
        <w:t>ompliance activities</w:t>
      </w:r>
      <w:r w:rsidR="00F973E0">
        <w:t>.</w:t>
      </w:r>
      <w:r>
        <w:t xml:space="preserve"> Lodgement concessions and transparency from regulators have been well received and considered dynamic, and accommodating to the circumstances.</w:t>
      </w:r>
    </w:p>
    <w:p w14:paraId="28B7C9CB" w14:textId="51004A26" w:rsidR="00ED6F63" w:rsidRDefault="00ED6F63" w:rsidP="00ED6F63">
      <w:pPr>
        <w:pStyle w:val="ListParagraph"/>
        <w:numPr>
          <w:ilvl w:val="2"/>
          <w:numId w:val="42"/>
        </w:numPr>
      </w:pPr>
      <w:r>
        <w:t xml:space="preserve">Commended use of Data61 and subject matter expertise to determine eligibility for software claims. </w:t>
      </w:r>
    </w:p>
    <w:p w14:paraId="2DC53635" w14:textId="77777777" w:rsidR="00ED6F63" w:rsidRDefault="00ED6F63" w:rsidP="00ED6F63">
      <w:pPr>
        <w:pStyle w:val="ListParagraph"/>
        <w:numPr>
          <w:ilvl w:val="3"/>
          <w:numId w:val="42"/>
        </w:numPr>
      </w:pPr>
      <w:r>
        <w:t>DISER and ATO welcome this feedback, and commits to remaining cooperative, flexible and considerate of the long term implications.</w:t>
      </w:r>
    </w:p>
    <w:p w14:paraId="0A5840DD" w14:textId="3FBA954A" w:rsidR="008145E4" w:rsidRPr="00074B44" w:rsidRDefault="008145E4" w:rsidP="006A2D2F">
      <w:pPr>
        <w:pStyle w:val="ListParagraph"/>
        <w:numPr>
          <w:ilvl w:val="0"/>
          <w:numId w:val="49"/>
        </w:numPr>
        <w:rPr>
          <w:u w:val="single"/>
        </w:rPr>
      </w:pPr>
      <w:proofErr w:type="spellStart"/>
      <w:r w:rsidRPr="00074B44">
        <w:rPr>
          <w:u w:val="single"/>
        </w:rPr>
        <w:t>JobKeeper</w:t>
      </w:r>
      <w:proofErr w:type="spellEnd"/>
      <w:r w:rsidR="009D4166" w:rsidRPr="00074B44">
        <w:rPr>
          <w:u w:val="single"/>
        </w:rPr>
        <w:t xml:space="preserve"> payments</w:t>
      </w:r>
      <w:r w:rsidR="002F6BD8" w:rsidRPr="00D80243">
        <w:rPr>
          <w:u w:val="single"/>
        </w:rPr>
        <w:t xml:space="preserve">, </w:t>
      </w:r>
      <w:r w:rsidR="00F973E0">
        <w:rPr>
          <w:u w:val="single"/>
        </w:rPr>
        <w:t>r</w:t>
      </w:r>
      <w:r w:rsidR="002F6BD8" w:rsidRPr="00D80243">
        <w:rPr>
          <w:u w:val="single"/>
        </w:rPr>
        <w:t>ates changes</w:t>
      </w:r>
      <w:r w:rsidR="009D4166" w:rsidRPr="00074B44">
        <w:rPr>
          <w:u w:val="single"/>
        </w:rPr>
        <w:t xml:space="preserve"> and their application in the R&amp;DTI</w:t>
      </w:r>
    </w:p>
    <w:p w14:paraId="784CADC6" w14:textId="3579F35B" w:rsidR="00AE4833" w:rsidRDefault="00AE4833" w:rsidP="006A2D2F">
      <w:pPr>
        <w:pStyle w:val="ListParagraph"/>
        <w:numPr>
          <w:ilvl w:val="2"/>
          <w:numId w:val="42"/>
        </w:numPr>
      </w:pPr>
      <w:r>
        <w:lastRenderedPageBreak/>
        <w:t xml:space="preserve">Ongoing uncertainty of rates, and whether retrospective application of adjusted legislation </w:t>
      </w:r>
      <w:r w:rsidR="00CA13DE">
        <w:t>would mean</w:t>
      </w:r>
      <w:r>
        <w:t xml:space="preserve"> the amendment of tax returns</w:t>
      </w:r>
      <w:r w:rsidR="00EC1B6B">
        <w:t xml:space="preserve"> requiring companies to repay overpaid offsets.</w:t>
      </w:r>
    </w:p>
    <w:p w14:paraId="0EAFE23C" w14:textId="59ACCC53" w:rsidR="006A2D2F" w:rsidRDefault="00AE4833" w:rsidP="00183FBA">
      <w:pPr>
        <w:pStyle w:val="ListParagraph"/>
        <w:numPr>
          <w:ilvl w:val="2"/>
          <w:numId w:val="42"/>
        </w:numPr>
        <w:ind w:left="1800"/>
      </w:pPr>
      <w:proofErr w:type="spellStart"/>
      <w:r>
        <w:t>JobKeeper</w:t>
      </w:r>
      <w:r w:rsidR="006A2D2F">
        <w:t>’s</w:t>
      </w:r>
      <w:proofErr w:type="spellEnd"/>
      <w:r>
        <w:t xml:space="preserve"> impact on securing team members to conduct R&amp;D</w:t>
      </w:r>
      <w:r w:rsidR="008E77F8">
        <w:t xml:space="preserve">, acknowledging </w:t>
      </w:r>
      <w:proofErr w:type="spellStart"/>
      <w:r w:rsidR="008E77F8">
        <w:t>JobKeeper</w:t>
      </w:r>
      <w:proofErr w:type="spellEnd"/>
      <w:r w:rsidR="008E77F8">
        <w:t xml:space="preserve"> payments are not applicable to Start-ups. </w:t>
      </w:r>
    </w:p>
    <w:p w14:paraId="003FBB93" w14:textId="642FEB0E" w:rsidR="00AE4833" w:rsidRDefault="006A2D2F" w:rsidP="006A2D2F">
      <w:pPr>
        <w:pStyle w:val="ListParagraph"/>
        <w:numPr>
          <w:ilvl w:val="2"/>
          <w:numId w:val="42"/>
        </w:numPr>
      </w:pPr>
      <w:r>
        <w:t xml:space="preserve">Whether </w:t>
      </w:r>
      <w:r w:rsidR="00AE4833">
        <w:t xml:space="preserve">the ATO can offer absolute clarity on how </w:t>
      </w:r>
      <w:proofErr w:type="spellStart"/>
      <w:r w:rsidR="00F973E0">
        <w:t>J</w:t>
      </w:r>
      <w:r w:rsidR="00AE4833">
        <w:t>ob</w:t>
      </w:r>
      <w:r w:rsidR="00F973E0">
        <w:t>K</w:t>
      </w:r>
      <w:r w:rsidR="00AE4833">
        <w:t>eeper</w:t>
      </w:r>
      <w:proofErr w:type="spellEnd"/>
      <w:r w:rsidR="00AE4833">
        <w:t xml:space="preserve"> payments are </w:t>
      </w:r>
      <w:r>
        <w:t xml:space="preserve">to be </w:t>
      </w:r>
      <w:r w:rsidR="00AE4833">
        <w:t xml:space="preserve">treated during these times. </w:t>
      </w:r>
    </w:p>
    <w:p w14:paraId="27228B6B" w14:textId="35E003FA" w:rsidR="002F6BD8" w:rsidRDefault="002F6BD8" w:rsidP="008676E2">
      <w:pPr>
        <w:pStyle w:val="ListParagraph"/>
        <w:numPr>
          <w:ilvl w:val="3"/>
          <w:numId w:val="42"/>
        </w:numPr>
        <w:ind w:left="2160" w:firstLine="360"/>
      </w:pPr>
      <w:r>
        <w:t xml:space="preserve">ATO released a </w:t>
      </w:r>
      <w:hyperlink r:id="rId12" w:history="1">
        <w:r w:rsidRPr="00F973E0">
          <w:rPr>
            <w:rStyle w:val="Hyperlink"/>
          </w:rPr>
          <w:t>draft</w:t>
        </w:r>
        <w:r w:rsidR="00EC1B6B">
          <w:rPr>
            <w:rStyle w:val="Hyperlink"/>
          </w:rPr>
          <w:t xml:space="preserve"> Tax D</w:t>
        </w:r>
        <w:r w:rsidRPr="00F973E0">
          <w:rPr>
            <w:rStyle w:val="Hyperlink"/>
          </w:rPr>
          <w:t>etermination</w:t>
        </w:r>
      </w:hyperlink>
      <w:r w:rsidR="00F973E0">
        <w:t xml:space="preserve"> (TD 2020/D1)</w:t>
      </w:r>
      <w:r>
        <w:t xml:space="preserve"> </w:t>
      </w:r>
      <w:r w:rsidR="00EC1B6B">
        <w:t xml:space="preserve">on </w:t>
      </w:r>
      <w:r>
        <w:t xml:space="preserve">how </w:t>
      </w:r>
      <w:proofErr w:type="spellStart"/>
      <w:r w:rsidR="00F973E0">
        <w:t>JobKeeper</w:t>
      </w:r>
      <w:proofErr w:type="spellEnd"/>
      <w:r w:rsidR="00F973E0">
        <w:t xml:space="preserve"> payments will be treated</w:t>
      </w:r>
      <w:r w:rsidR="00EC1B6B">
        <w:t>.  Public feedback is due by</w:t>
      </w:r>
      <w:r w:rsidR="00F973E0">
        <w:t xml:space="preserve"> </w:t>
      </w:r>
      <w:proofErr w:type="spellStart"/>
      <w:r w:rsidR="00F973E0">
        <w:t>by</w:t>
      </w:r>
      <w:proofErr w:type="spellEnd"/>
      <w:r w:rsidR="00F973E0">
        <w:t xml:space="preserve"> 24 </w:t>
      </w:r>
      <w:r>
        <w:t xml:space="preserve">August. </w:t>
      </w:r>
    </w:p>
    <w:p w14:paraId="6BA5BDF9" w14:textId="20B3AAB4" w:rsidR="008145E4" w:rsidRPr="00074B44" w:rsidRDefault="008145E4" w:rsidP="00E85423">
      <w:pPr>
        <w:pStyle w:val="ListParagraph"/>
        <w:numPr>
          <w:ilvl w:val="0"/>
          <w:numId w:val="49"/>
        </w:numPr>
        <w:rPr>
          <w:u w:val="single"/>
        </w:rPr>
      </w:pPr>
      <w:r w:rsidRPr="00074B44">
        <w:rPr>
          <w:u w:val="single"/>
        </w:rPr>
        <w:t xml:space="preserve">Resourcing of </w:t>
      </w:r>
      <w:r w:rsidR="00EF26C0">
        <w:rPr>
          <w:u w:val="single"/>
        </w:rPr>
        <w:t>ATO and DISER throughout COVID-19</w:t>
      </w:r>
    </w:p>
    <w:p w14:paraId="7DEB7F56" w14:textId="69F0B105" w:rsidR="00AE4833" w:rsidRDefault="00AE4833" w:rsidP="00E85423">
      <w:pPr>
        <w:pStyle w:val="ListParagraph"/>
        <w:numPr>
          <w:ilvl w:val="2"/>
          <w:numId w:val="42"/>
        </w:numPr>
      </w:pPr>
      <w:r>
        <w:t>Unprecedented inte</w:t>
      </w:r>
      <w:r w:rsidR="00853E70">
        <w:t>rnational interest in the R&amp;DTI</w:t>
      </w:r>
      <w:r>
        <w:t xml:space="preserve"> as a recovery option post COVID-19.</w:t>
      </w:r>
    </w:p>
    <w:p w14:paraId="7A973C4E" w14:textId="6D71E9A5" w:rsidR="00442667" w:rsidRDefault="004C2D97" w:rsidP="00E85423">
      <w:pPr>
        <w:pStyle w:val="ListParagraph"/>
        <w:numPr>
          <w:ilvl w:val="2"/>
          <w:numId w:val="42"/>
        </w:numPr>
      </w:pPr>
      <w:r>
        <w:t>Concerns raised</w:t>
      </w:r>
      <w:r w:rsidR="00442667">
        <w:t xml:space="preserve"> about the pause and delay</w:t>
      </w:r>
      <w:r>
        <w:t>s</w:t>
      </w:r>
      <w:r w:rsidR="00442667">
        <w:t xml:space="preserve"> with investigations and reviews</w:t>
      </w:r>
    </w:p>
    <w:p w14:paraId="4591D681" w14:textId="671E6706" w:rsidR="00442667" w:rsidRDefault="00853E70" w:rsidP="00853E70">
      <w:pPr>
        <w:pStyle w:val="ListParagraph"/>
        <w:numPr>
          <w:ilvl w:val="3"/>
          <w:numId w:val="42"/>
        </w:numPr>
      </w:pPr>
      <w:r>
        <w:t xml:space="preserve">ATO and </w:t>
      </w:r>
      <w:r w:rsidR="00442667">
        <w:t xml:space="preserve">DISER are working through the current logs and welcomes direct contact </w:t>
      </w:r>
      <w:r w:rsidR="004C2D97">
        <w:t xml:space="preserve">for </w:t>
      </w:r>
      <w:r w:rsidR="00442667">
        <w:t>any concerns</w:t>
      </w:r>
      <w:r w:rsidR="00F973E0">
        <w:t xml:space="preserve"> with specific applications</w:t>
      </w:r>
      <w:r w:rsidR="00442667">
        <w:t>. The ATO highlight</w:t>
      </w:r>
      <w:r w:rsidR="004C2D97">
        <w:t>ed that</w:t>
      </w:r>
      <w:r w:rsidR="00442667">
        <w:t xml:space="preserve"> resources have been </w:t>
      </w:r>
      <w:r w:rsidR="00EC1B6B">
        <w:t>re</w:t>
      </w:r>
      <w:r w:rsidR="00442667">
        <w:t>directed to Government Stimulus Package measures</w:t>
      </w:r>
      <w:r w:rsidR="004C2D97">
        <w:t>.</w:t>
      </w:r>
      <w:r w:rsidR="00442667">
        <w:t xml:space="preserve"> </w:t>
      </w:r>
    </w:p>
    <w:p w14:paraId="7E9D2294" w14:textId="7094A6FC" w:rsidR="008145E4" w:rsidRPr="00074B44" w:rsidRDefault="008145E4" w:rsidP="00D80243">
      <w:pPr>
        <w:pStyle w:val="ListParagraph"/>
        <w:numPr>
          <w:ilvl w:val="1"/>
          <w:numId w:val="42"/>
        </w:numPr>
        <w:rPr>
          <w:u w:val="single"/>
        </w:rPr>
      </w:pPr>
      <w:r w:rsidRPr="00074B44">
        <w:rPr>
          <w:u w:val="single"/>
        </w:rPr>
        <w:t>Legal and</w:t>
      </w:r>
      <w:r w:rsidR="00D80243">
        <w:rPr>
          <w:u w:val="single"/>
        </w:rPr>
        <w:t xml:space="preserve"> legislative</w:t>
      </w:r>
      <w:r w:rsidRPr="00074B44">
        <w:rPr>
          <w:u w:val="single"/>
        </w:rPr>
        <w:t xml:space="preserve"> framework </w:t>
      </w:r>
      <w:r w:rsidR="00D80243">
        <w:rPr>
          <w:u w:val="single"/>
        </w:rPr>
        <w:t>rigidity</w:t>
      </w:r>
    </w:p>
    <w:p w14:paraId="1A3A93E8" w14:textId="27A86F65" w:rsidR="007E5618" w:rsidRDefault="004C2D97" w:rsidP="0077583E">
      <w:pPr>
        <w:pStyle w:val="ListParagraph"/>
        <w:numPr>
          <w:ilvl w:val="2"/>
          <w:numId w:val="42"/>
        </w:numPr>
      </w:pPr>
      <w:r>
        <w:t>Members questioned if there may be o</w:t>
      </w:r>
      <w:r w:rsidR="00D80243">
        <w:t xml:space="preserve">pportunity for examination into historical practices, </w:t>
      </w:r>
      <w:r>
        <w:t xml:space="preserve">and if there are any </w:t>
      </w:r>
      <w:r w:rsidR="00F973E0">
        <w:t>l</w:t>
      </w:r>
      <w:r w:rsidR="007E5618">
        <w:t xml:space="preserve">egal cases </w:t>
      </w:r>
      <w:r w:rsidR="00D80243">
        <w:t>to</w:t>
      </w:r>
      <w:r w:rsidR="007E5618">
        <w:t xml:space="preserve"> dictate the future direction and guidance within the program </w:t>
      </w:r>
    </w:p>
    <w:p w14:paraId="5448F7C8" w14:textId="03C62B6B" w:rsidR="007E5618" w:rsidRPr="00300A45" w:rsidRDefault="007E5618" w:rsidP="00D80243">
      <w:pPr>
        <w:pStyle w:val="ListParagraph"/>
        <w:numPr>
          <w:ilvl w:val="2"/>
          <w:numId w:val="42"/>
        </w:numPr>
      </w:pPr>
      <w:r w:rsidRPr="00300A45">
        <w:t xml:space="preserve">Issues </w:t>
      </w:r>
      <w:r w:rsidR="004C2D97">
        <w:t xml:space="preserve">raised </w:t>
      </w:r>
      <w:r w:rsidR="00D80243">
        <w:t>r</w:t>
      </w:r>
      <w:r w:rsidR="004C2D97">
        <w:t>egarding</w:t>
      </w:r>
      <w:r w:rsidRPr="00300A45">
        <w:t xml:space="preserve"> settlement and resolution of disputes, and </w:t>
      </w:r>
      <w:r w:rsidR="00F973E0">
        <w:t>limited</w:t>
      </w:r>
      <w:r w:rsidR="00F973E0" w:rsidRPr="00300A45">
        <w:t xml:space="preserve"> </w:t>
      </w:r>
      <w:r w:rsidRPr="00300A45">
        <w:t>flexibility on</w:t>
      </w:r>
      <w:r>
        <w:t>c</w:t>
      </w:r>
      <w:r w:rsidRPr="00300A45">
        <w:t>e DISER has issued a finding</w:t>
      </w:r>
      <w:r>
        <w:t>.</w:t>
      </w:r>
    </w:p>
    <w:p w14:paraId="2C1CD4AD" w14:textId="0135C384" w:rsidR="007E5618" w:rsidRDefault="007E5618" w:rsidP="00D80243">
      <w:pPr>
        <w:pStyle w:val="ListParagraph"/>
        <w:numPr>
          <w:ilvl w:val="3"/>
          <w:numId w:val="42"/>
        </w:numPr>
      </w:pPr>
      <w:r>
        <w:t xml:space="preserve">ATO </w:t>
      </w:r>
      <w:r w:rsidR="00EC1B6B">
        <w:t>advised that the</w:t>
      </w:r>
      <w:r>
        <w:t xml:space="preserve"> </w:t>
      </w:r>
      <w:r w:rsidRPr="00300A45">
        <w:t xml:space="preserve">legislative requirements </w:t>
      </w:r>
      <w:r w:rsidR="00EC1B6B">
        <w:t xml:space="preserve">of the R&amp;D program requires </w:t>
      </w:r>
      <w:proofErr w:type="gramStart"/>
      <w:r w:rsidR="00EC1B6B">
        <w:t xml:space="preserve">the </w:t>
      </w:r>
      <w:r w:rsidRPr="00300A45">
        <w:t xml:space="preserve"> </w:t>
      </w:r>
      <w:proofErr w:type="spellStart"/>
      <w:r w:rsidR="00F973E0">
        <w:t>the</w:t>
      </w:r>
      <w:proofErr w:type="spellEnd"/>
      <w:proofErr w:type="gramEnd"/>
      <w:r w:rsidR="00F973E0">
        <w:t xml:space="preserve"> </w:t>
      </w:r>
      <w:r w:rsidRPr="00300A45">
        <w:t xml:space="preserve">Commissioner </w:t>
      </w:r>
      <w:r w:rsidR="00EC1B6B">
        <w:t xml:space="preserve">to give effect to a finding made by DISER.  Settlement negotiations with the ATO must be made before a decision is made by </w:t>
      </w:r>
      <w:r w:rsidRPr="00300A45">
        <w:t>DISER</w:t>
      </w:r>
      <w:r w:rsidR="00EC1B6B">
        <w:t>.  DISER</w:t>
      </w:r>
      <w:r w:rsidRPr="00300A45">
        <w:t xml:space="preserve"> offered</w:t>
      </w:r>
      <w:r w:rsidR="00D80243">
        <w:t xml:space="preserve"> to enter discussions early </w:t>
      </w:r>
      <w:r w:rsidRPr="00300A45">
        <w:t xml:space="preserve">to resolve issues ahead of a finding </w:t>
      </w:r>
      <w:r>
        <w:t>being made</w:t>
      </w:r>
      <w:r w:rsidRPr="00300A45">
        <w:t>.</w:t>
      </w:r>
    </w:p>
    <w:p w14:paraId="7D030711" w14:textId="56EA738F" w:rsidR="00937D22" w:rsidRPr="00074B44" w:rsidRDefault="00937D22" w:rsidP="009A14FE">
      <w:pPr>
        <w:pStyle w:val="ListParagraph"/>
        <w:numPr>
          <w:ilvl w:val="1"/>
          <w:numId w:val="42"/>
        </w:numPr>
        <w:rPr>
          <w:u w:val="single"/>
        </w:rPr>
      </w:pPr>
      <w:r w:rsidRPr="00074B44">
        <w:rPr>
          <w:u w:val="single"/>
        </w:rPr>
        <w:t>Criticality of the R&amp;DTI</w:t>
      </w:r>
      <w:r w:rsidR="009D4166">
        <w:rPr>
          <w:u w:val="single"/>
        </w:rPr>
        <w:t xml:space="preserve"> to business continuity</w:t>
      </w:r>
    </w:p>
    <w:p w14:paraId="07707995" w14:textId="52FAA122" w:rsidR="007B55BB" w:rsidRDefault="00BD2C7B" w:rsidP="0077583E">
      <w:pPr>
        <w:pStyle w:val="ListParagraph"/>
        <w:numPr>
          <w:ilvl w:val="2"/>
          <w:numId w:val="42"/>
        </w:numPr>
      </w:pPr>
      <w:r>
        <w:t xml:space="preserve">Agents </w:t>
      </w:r>
      <w:r w:rsidR="009F5C84">
        <w:t>have</w:t>
      </w:r>
      <w:r>
        <w:t xml:space="preserve"> not seen an immediate drop in conducting R&amp;D, however a reduced flow of venture capital funding has meant a heavier reliance on the R&amp;DTI, as investors </w:t>
      </w:r>
      <w:r w:rsidR="009F5C84">
        <w:t>are</w:t>
      </w:r>
      <w:r>
        <w:t xml:space="preserve"> keen to secure R&amp;D funding.</w:t>
      </w:r>
      <w:r w:rsidR="00065F5B">
        <w:t xml:space="preserve"> </w:t>
      </w:r>
    </w:p>
    <w:p w14:paraId="53EFFE6F" w14:textId="3F4DFBB0" w:rsidR="00BD2C7B" w:rsidRDefault="00065F5B" w:rsidP="0077583E">
      <w:pPr>
        <w:pStyle w:val="ListParagraph"/>
        <w:numPr>
          <w:ilvl w:val="2"/>
          <w:numId w:val="42"/>
        </w:numPr>
      </w:pPr>
      <w:r>
        <w:t xml:space="preserve">Without funding, some companies </w:t>
      </w:r>
      <w:r w:rsidR="009F5C84">
        <w:t xml:space="preserve">are </w:t>
      </w:r>
      <w:r>
        <w:t xml:space="preserve">putting projects on hold. </w:t>
      </w:r>
    </w:p>
    <w:p w14:paraId="485810DB" w14:textId="4B6A1F2F" w:rsidR="00297047" w:rsidRDefault="009034E1" w:rsidP="00297047">
      <w:pPr>
        <w:pStyle w:val="ListParagraph"/>
        <w:numPr>
          <w:ilvl w:val="2"/>
          <w:numId w:val="42"/>
        </w:numPr>
      </w:pPr>
      <w:r>
        <w:t xml:space="preserve">R&amp;DTI </w:t>
      </w:r>
      <w:r w:rsidR="00297047">
        <w:t>perceived as</w:t>
      </w:r>
      <w:r>
        <w:t xml:space="preserve"> critical to assisting companies predict how much capital they will have in the future</w:t>
      </w:r>
      <w:r w:rsidR="00297047">
        <w:t>. Securing funds the catalyst for survival for some companies, and dictate their ability to employ people, and conduct R&amp;D.</w:t>
      </w:r>
    </w:p>
    <w:p w14:paraId="383A161E" w14:textId="44417D02" w:rsidR="009034E1" w:rsidRDefault="00297047" w:rsidP="009034E1">
      <w:pPr>
        <w:pStyle w:val="ListParagraph"/>
        <w:numPr>
          <w:ilvl w:val="2"/>
          <w:numId w:val="42"/>
        </w:numPr>
      </w:pPr>
      <w:r>
        <w:t>Suggestions</w:t>
      </w:r>
      <w:r w:rsidR="009034E1">
        <w:t xml:space="preserve"> for ATO and DISER to honour claims, and </w:t>
      </w:r>
      <w:r w:rsidR="009F5C84">
        <w:t>introduce b</w:t>
      </w:r>
      <w:r w:rsidR="009034E1">
        <w:t>i-annual payments.</w:t>
      </w:r>
    </w:p>
    <w:p w14:paraId="6AC9A846" w14:textId="143C16A1" w:rsidR="00CA13DE" w:rsidRPr="001C5D2F" w:rsidRDefault="00CA13DE" w:rsidP="00D97C9F">
      <w:pPr>
        <w:pStyle w:val="ListParagraph"/>
        <w:numPr>
          <w:ilvl w:val="2"/>
          <w:numId w:val="42"/>
        </w:numPr>
      </w:pPr>
      <w:r w:rsidRPr="001C5D2F">
        <w:t>A perceived reduc</w:t>
      </w:r>
      <w:r w:rsidR="009F5C84">
        <w:t>tion in</w:t>
      </w:r>
      <w:r w:rsidRPr="001C5D2F">
        <w:t xml:space="preserve"> support for refundable</w:t>
      </w:r>
      <w:r w:rsidR="009F5C84">
        <w:t xml:space="preserve"> claims</w:t>
      </w:r>
      <w:r w:rsidRPr="001C5D2F">
        <w:t xml:space="preserve">, and a </w:t>
      </w:r>
      <w:r w:rsidR="009F5C84">
        <w:t>significant reduction in</w:t>
      </w:r>
      <w:r w:rsidRPr="001C5D2F">
        <w:t xml:space="preserve"> support for non-refundable claims.</w:t>
      </w:r>
    </w:p>
    <w:p w14:paraId="1BD962C7" w14:textId="603CDE67" w:rsidR="007E5618" w:rsidRDefault="009034E1" w:rsidP="00D97C9F">
      <w:pPr>
        <w:pStyle w:val="ListParagraph"/>
        <w:numPr>
          <w:ilvl w:val="2"/>
          <w:numId w:val="42"/>
        </w:numPr>
      </w:pPr>
      <w:r>
        <w:t>C</w:t>
      </w:r>
      <w:r w:rsidR="007E5618">
        <w:t>ompanies experiencing trouble in fulfilling their obligations to research partners, has resulted in lobbying ARC to arrange flexibility in partnership projects.</w:t>
      </w:r>
    </w:p>
    <w:p w14:paraId="7DAF1BB8" w14:textId="6107E887" w:rsidR="007E5618" w:rsidRDefault="007B55BB" w:rsidP="00D97C9F">
      <w:pPr>
        <w:pStyle w:val="ListParagraph"/>
        <w:numPr>
          <w:ilvl w:val="2"/>
          <w:numId w:val="42"/>
        </w:numPr>
      </w:pPr>
      <w:r>
        <w:t>Strong investment</w:t>
      </w:r>
      <w:r w:rsidR="00D97C9F">
        <w:t xml:space="preserve"> interest in </w:t>
      </w:r>
      <w:r w:rsidR="007E5618">
        <w:t xml:space="preserve">pharmaceuticals and </w:t>
      </w:r>
      <w:proofErr w:type="spellStart"/>
      <w:r w:rsidR="007E5618">
        <w:t>MedTech</w:t>
      </w:r>
      <w:proofErr w:type="spellEnd"/>
      <w:r w:rsidR="007E5618">
        <w:t xml:space="preserve"> sectors R&amp;D activities.</w:t>
      </w:r>
    </w:p>
    <w:p w14:paraId="3A7D00F6" w14:textId="3B400E42" w:rsidR="001E47D8" w:rsidRDefault="001E47D8" w:rsidP="00065F5B">
      <w:pPr>
        <w:pStyle w:val="ListParagraph"/>
        <w:numPr>
          <w:ilvl w:val="2"/>
          <w:numId w:val="42"/>
        </w:numPr>
      </w:pPr>
      <w:r>
        <w:t>ICT sector have released a white paper</w:t>
      </w:r>
      <w:r w:rsidR="00065F5B">
        <w:t xml:space="preserve"> </w:t>
      </w:r>
      <w:r>
        <w:t>with clear areas of recommendations, including the stimulus of our economy being reliant on manufacturing</w:t>
      </w:r>
      <w:r w:rsidR="00065F5B">
        <w:t>.</w:t>
      </w:r>
    </w:p>
    <w:p w14:paraId="71CDC273" w14:textId="069A3E34" w:rsidR="001E47D8" w:rsidRDefault="009F5C84" w:rsidP="00074B44">
      <w:pPr>
        <w:pStyle w:val="ListParagraph"/>
        <w:numPr>
          <w:ilvl w:val="3"/>
          <w:numId w:val="42"/>
        </w:numPr>
      </w:pPr>
      <w:r>
        <w:lastRenderedPageBreak/>
        <w:t>The</w:t>
      </w:r>
      <w:r w:rsidR="00BD2C7B">
        <w:t xml:space="preserve"> ATO and </w:t>
      </w:r>
      <w:r w:rsidR="001E47D8">
        <w:t>DISER welcomed th</w:t>
      </w:r>
      <w:r>
        <w:t>ese</w:t>
      </w:r>
      <w:r w:rsidR="001E47D8">
        <w:t xml:space="preserve"> insight</w:t>
      </w:r>
      <w:r>
        <w:t>s</w:t>
      </w:r>
      <w:r w:rsidR="001E47D8">
        <w:t xml:space="preserve"> and </w:t>
      </w:r>
      <w:r>
        <w:t>committed</w:t>
      </w:r>
      <w:r w:rsidR="001E47D8">
        <w:t xml:space="preserve"> to </w:t>
      </w:r>
      <w:r>
        <w:t>supporting</w:t>
      </w:r>
      <w:r w:rsidR="001E47D8">
        <w:t xml:space="preserve"> companies </w:t>
      </w:r>
      <w:r>
        <w:t>undertak</w:t>
      </w:r>
      <w:r w:rsidR="00EC1B6B">
        <w:t>ing</w:t>
      </w:r>
      <w:r>
        <w:t xml:space="preserve"> eligible</w:t>
      </w:r>
      <w:r w:rsidR="001E47D8">
        <w:t xml:space="preserve"> R&amp;D</w:t>
      </w:r>
      <w:r w:rsidR="00BD2C7B">
        <w:t xml:space="preserve"> and provide </w:t>
      </w:r>
      <w:r>
        <w:t xml:space="preserve">greater </w:t>
      </w:r>
      <w:r w:rsidR="00BD2C7B">
        <w:t>certainty to business</w:t>
      </w:r>
      <w:r>
        <w:t xml:space="preserve"> where they can</w:t>
      </w:r>
      <w:r w:rsidR="00BD2C7B">
        <w:t>.</w:t>
      </w:r>
    </w:p>
    <w:p w14:paraId="43BC0504" w14:textId="77777777" w:rsidR="00074B44" w:rsidRDefault="00074B44" w:rsidP="0017496A">
      <w:pPr>
        <w:pStyle w:val="ListParagraph"/>
      </w:pPr>
    </w:p>
    <w:p w14:paraId="5091BBB3" w14:textId="5DBE530D" w:rsidR="0017496A" w:rsidRPr="008853E6" w:rsidRDefault="008853E6" w:rsidP="008E2037">
      <w:pPr>
        <w:pStyle w:val="Heading2"/>
      </w:pPr>
      <w:r>
        <w:t>ATO Update</w:t>
      </w:r>
    </w:p>
    <w:p w14:paraId="6B6773E3" w14:textId="36056A2A" w:rsidR="00A775B4" w:rsidRDefault="00284315" w:rsidP="00A775B4">
      <w:pPr>
        <w:pStyle w:val="ListParagraph"/>
        <w:numPr>
          <w:ilvl w:val="0"/>
          <w:numId w:val="44"/>
        </w:numPr>
      </w:pPr>
      <w:r>
        <w:t xml:space="preserve">ATO </w:t>
      </w:r>
      <w:r w:rsidR="00A775B4">
        <w:t>provided</w:t>
      </w:r>
      <w:r>
        <w:t xml:space="preserve"> updates on </w:t>
      </w:r>
      <w:r w:rsidR="00A57A79">
        <w:t>t</w:t>
      </w:r>
      <w:r w:rsidR="002E077E">
        <w:t xml:space="preserve">he </w:t>
      </w:r>
      <w:r w:rsidR="00A57A79">
        <w:t xml:space="preserve">pandemic </w:t>
      </w:r>
      <w:r>
        <w:t xml:space="preserve">COVID-19 and </w:t>
      </w:r>
      <w:r w:rsidR="00A775B4">
        <w:t>b</w:t>
      </w:r>
      <w:r>
        <w:t xml:space="preserve">ushfire </w:t>
      </w:r>
      <w:r w:rsidR="00A775B4">
        <w:t>r</w:t>
      </w:r>
      <w:r>
        <w:t>esponse</w:t>
      </w:r>
      <w:r w:rsidR="00A775B4">
        <w:t>s, including:</w:t>
      </w:r>
    </w:p>
    <w:p w14:paraId="34E883F9" w14:textId="30C45179" w:rsidR="00A775B4" w:rsidRDefault="00A775B4" w:rsidP="00A775B4">
      <w:pPr>
        <w:pStyle w:val="ListParagraph"/>
        <w:numPr>
          <w:ilvl w:val="1"/>
          <w:numId w:val="44"/>
        </w:numPr>
      </w:pPr>
      <w:r>
        <w:t>Activities regarding a</w:t>
      </w:r>
      <w:r w:rsidR="00284315">
        <w:t xml:space="preserve">dvice, compliance, </w:t>
      </w:r>
      <w:r>
        <w:t>d</w:t>
      </w:r>
      <w:r w:rsidR="00284315">
        <w:t xml:space="preserve">ebt </w:t>
      </w:r>
      <w:r>
        <w:t>ac</w:t>
      </w:r>
      <w:r w:rsidR="00284315">
        <w:t xml:space="preserve">tion, </w:t>
      </w:r>
      <w:r>
        <w:t>d</w:t>
      </w:r>
      <w:r w:rsidR="00284315">
        <w:t xml:space="preserve">elivering Government </w:t>
      </w:r>
      <w:r>
        <w:t>s</w:t>
      </w:r>
      <w:r w:rsidR="00284315">
        <w:t>timulus package measure</w:t>
      </w:r>
      <w:r>
        <w:t>s</w:t>
      </w:r>
      <w:r w:rsidR="00284315">
        <w:t>, and ongoing support for affected companies.</w:t>
      </w:r>
    </w:p>
    <w:p w14:paraId="1199552F" w14:textId="6650FA8D" w:rsidR="00A775B4" w:rsidRDefault="009F5C84" w:rsidP="00074B44">
      <w:pPr>
        <w:pStyle w:val="ListParagraph"/>
        <w:numPr>
          <w:ilvl w:val="1"/>
          <w:numId w:val="44"/>
        </w:numPr>
      </w:pPr>
      <w:r>
        <w:t>Details on s</w:t>
      </w:r>
      <w:r w:rsidR="00A775B4">
        <w:t xml:space="preserve">trategies and support measures to support taxpayers and </w:t>
      </w:r>
      <w:r w:rsidR="00955AD8">
        <w:t>companies</w:t>
      </w:r>
      <w:r w:rsidRPr="009F5C84">
        <w:t xml:space="preserve"> </w:t>
      </w:r>
      <w:r>
        <w:t>are available on the ATO website</w:t>
      </w:r>
      <w:r w:rsidR="00346477">
        <w:t>.</w:t>
      </w:r>
    </w:p>
    <w:p w14:paraId="0F3956D4" w14:textId="4BA8D842" w:rsidR="00346477" w:rsidRDefault="00346477" w:rsidP="00346477">
      <w:pPr>
        <w:pStyle w:val="ListParagraph"/>
        <w:numPr>
          <w:ilvl w:val="1"/>
          <w:numId w:val="44"/>
        </w:numPr>
      </w:pPr>
      <w:r>
        <w:t xml:space="preserve">Re-allocation of ATO resources to work on Government stimulus packages (including </w:t>
      </w:r>
      <w:proofErr w:type="spellStart"/>
      <w:r>
        <w:t>JobKeeper</w:t>
      </w:r>
      <w:proofErr w:type="spellEnd"/>
      <w:r>
        <w:t xml:space="preserve">, </w:t>
      </w:r>
      <w:proofErr w:type="spellStart"/>
      <w:r>
        <w:t>cashflow</w:t>
      </w:r>
      <w:proofErr w:type="spellEnd"/>
      <w:r>
        <w:t xml:space="preserve"> boost, and early access </w:t>
      </w:r>
      <w:r w:rsidR="009F5C84">
        <w:t>to</w:t>
      </w:r>
      <w:r>
        <w:t xml:space="preserve"> Superannuation).</w:t>
      </w:r>
    </w:p>
    <w:p w14:paraId="2400DF10" w14:textId="564B21C4" w:rsidR="00346477" w:rsidRDefault="00346477" w:rsidP="008C23F5">
      <w:pPr>
        <w:pStyle w:val="ListParagraph"/>
        <w:numPr>
          <w:ilvl w:val="0"/>
          <w:numId w:val="44"/>
        </w:numPr>
      </w:pPr>
      <w:r>
        <w:t xml:space="preserve">ATO further noted that with regard to compliance work during </w:t>
      </w:r>
      <w:r w:rsidR="002E077E">
        <w:t xml:space="preserve">the COVID-19 pandemic and </w:t>
      </w:r>
      <w:r>
        <w:t>bushfires:</w:t>
      </w:r>
    </w:p>
    <w:p w14:paraId="7A603EE7" w14:textId="29254603" w:rsidR="00346477" w:rsidRDefault="00346477" w:rsidP="008C23F5">
      <w:pPr>
        <w:pStyle w:val="ListParagraph"/>
        <w:numPr>
          <w:ilvl w:val="1"/>
          <w:numId w:val="44"/>
        </w:numPr>
      </w:pPr>
      <w:r>
        <w:t xml:space="preserve">A large amount </w:t>
      </w:r>
      <w:r w:rsidR="00B92A79">
        <w:t xml:space="preserve">of compliance activity </w:t>
      </w:r>
      <w:r>
        <w:t>has been suspended.</w:t>
      </w:r>
    </w:p>
    <w:p w14:paraId="00B93C85" w14:textId="7F7B0838" w:rsidR="008C23F5" w:rsidRDefault="008C23F5" w:rsidP="008C23F5">
      <w:pPr>
        <w:pStyle w:val="ListParagraph"/>
        <w:numPr>
          <w:ilvl w:val="1"/>
          <w:numId w:val="44"/>
        </w:numPr>
      </w:pPr>
      <w:r>
        <w:t xml:space="preserve">Companies who already had compliance underway were contacted to see if they wanted to proceed or not </w:t>
      </w:r>
      <w:r w:rsidR="00346477">
        <w:t xml:space="preserve">during this </w:t>
      </w:r>
      <w:r>
        <w:t>time.</w:t>
      </w:r>
    </w:p>
    <w:p w14:paraId="110828D9" w14:textId="0AE12E85" w:rsidR="008C23F5" w:rsidRDefault="00346477" w:rsidP="008C23F5">
      <w:pPr>
        <w:pStyle w:val="ListParagraph"/>
        <w:numPr>
          <w:ilvl w:val="1"/>
          <w:numId w:val="44"/>
        </w:numPr>
      </w:pPr>
      <w:r>
        <w:t>Specifically f</w:t>
      </w:r>
      <w:r w:rsidR="008C23F5">
        <w:t>or the R&amp;DTI one of the key initiatives is the refundable offset, and therefore some compliance activities did need to continue</w:t>
      </w:r>
      <w:r w:rsidR="007B55BB">
        <w:t>.</w:t>
      </w:r>
    </w:p>
    <w:p w14:paraId="1E86F210" w14:textId="277D3F2F" w:rsidR="008F78FB" w:rsidRDefault="004C1A9A" w:rsidP="008C23F5">
      <w:pPr>
        <w:pStyle w:val="ListParagraph"/>
        <w:numPr>
          <w:ilvl w:val="1"/>
          <w:numId w:val="44"/>
        </w:numPr>
      </w:pPr>
      <w:r>
        <w:t>While t</w:t>
      </w:r>
      <w:r w:rsidR="008F78FB">
        <w:t xml:space="preserve">here is a hold on </w:t>
      </w:r>
      <w:r w:rsidR="00346477">
        <w:t>d</w:t>
      </w:r>
      <w:r w:rsidR="008F78FB">
        <w:t>ebt recovery action</w:t>
      </w:r>
      <w:r w:rsidR="00A627B6">
        <w:t xml:space="preserve"> for some companies</w:t>
      </w:r>
      <w:r w:rsidR="008F78FB">
        <w:t xml:space="preserve">, </w:t>
      </w:r>
      <w:r>
        <w:t>the</w:t>
      </w:r>
      <w:r w:rsidR="00346477">
        <w:t xml:space="preserve">y </w:t>
      </w:r>
      <w:r w:rsidR="008F78FB">
        <w:t xml:space="preserve">have </w:t>
      </w:r>
      <w:r w:rsidR="00A627B6">
        <w:t>had to continue to g</w:t>
      </w:r>
      <w:r w:rsidR="008F78FB">
        <w:t>ive effect to findings</w:t>
      </w:r>
      <w:r w:rsidR="00B520F8">
        <w:t>.</w:t>
      </w:r>
    </w:p>
    <w:p w14:paraId="172B6FAD" w14:textId="17708B02" w:rsidR="00346477" w:rsidRDefault="00B520F8" w:rsidP="008C23F5">
      <w:pPr>
        <w:pStyle w:val="ListParagraph"/>
        <w:numPr>
          <w:ilvl w:val="1"/>
          <w:numId w:val="44"/>
        </w:numPr>
      </w:pPr>
      <w:r>
        <w:t xml:space="preserve">If </w:t>
      </w:r>
      <w:r w:rsidR="00346477">
        <w:t>companies</w:t>
      </w:r>
      <w:r>
        <w:t xml:space="preserve"> are w</w:t>
      </w:r>
      <w:r w:rsidR="00346477">
        <w:t xml:space="preserve">anting </w:t>
      </w:r>
      <w:r>
        <w:t xml:space="preserve">to put a hold on their </w:t>
      </w:r>
      <w:r w:rsidR="00346477">
        <w:t>d</w:t>
      </w:r>
      <w:r>
        <w:t xml:space="preserve">ebt </w:t>
      </w:r>
      <w:r w:rsidR="00346477">
        <w:t>r</w:t>
      </w:r>
      <w:r>
        <w:t>ecovery</w:t>
      </w:r>
      <w:r w:rsidR="00A627B6">
        <w:t xml:space="preserve"> action</w:t>
      </w:r>
      <w:r>
        <w:t xml:space="preserve">, </w:t>
      </w:r>
      <w:r w:rsidR="00346477">
        <w:t>they are to contact the ATO as soon as practicable.</w:t>
      </w:r>
    </w:p>
    <w:p w14:paraId="3E09BBD3" w14:textId="77777777" w:rsidR="00B92A79" w:rsidRDefault="009C1F60" w:rsidP="00B92A79">
      <w:pPr>
        <w:pStyle w:val="ListParagraph"/>
        <w:numPr>
          <w:ilvl w:val="0"/>
          <w:numId w:val="44"/>
        </w:numPr>
      </w:pPr>
      <w:r>
        <w:t xml:space="preserve">The ATO </w:t>
      </w:r>
      <w:r w:rsidR="00B92A79">
        <w:t>also noted:</w:t>
      </w:r>
    </w:p>
    <w:p w14:paraId="564BEBA9" w14:textId="635AF2C0" w:rsidR="00B92A79" w:rsidRDefault="00B92A79" w:rsidP="00074B44">
      <w:pPr>
        <w:pStyle w:val="ListParagraph"/>
        <w:numPr>
          <w:ilvl w:val="1"/>
          <w:numId w:val="44"/>
        </w:numPr>
      </w:pPr>
      <w:r>
        <w:t xml:space="preserve">The issuing of the </w:t>
      </w:r>
      <w:hyperlink r:id="rId13" w:history="1">
        <w:r w:rsidRPr="002D45D9">
          <w:rPr>
            <w:rStyle w:val="Hyperlink"/>
          </w:rPr>
          <w:t>D</w:t>
        </w:r>
        <w:r w:rsidR="009C1F60" w:rsidRPr="002D45D9">
          <w:rPr>
            <w:rStyle w:val="Hyperlink"/>
          </w:rPr>
          <w:t>raft Tax Determination: 2020 D1</w:t>
        </w:r>
      </w:hyperlink>
      <w:r w:rsidR="009C1F60">
        <w:t xml:space="preserve"> on </w:t>
      </w:r>
      <w:r>
        <w:t xml:space="preserve">27 </w:t>
      </w:r>
      <w:r w:rsidR="009C1F60">
        <w:t>July</w:t>
      </w:r>
      <w:r>
        <w:t xml:space="preserve"> 2020</w:t>
      </w:r>
      <w:r w:rsidR="009C1F60">
        <w:t xml:space="preserve">. </w:t>
      </w:r>
    </w:p>
    <w:p w14:paraId="3D2E2CF9" w14:textId="355D7E74" w:rsidR="00B92A79" w:rsidRDefault="009C1F60" w:rsidP="00074B44">
      <w:pPr>
        <w:pStyle w:val="ListParagraph"/>
        <w:numPr>
          <w:ilvl w:val="2"/>
          <w:numId w:val="44"/>
        </w:numPr>
      </w:pPr>
      <w:r>
        <w:t>Th</w:t>
      </w:r>
      <w:r w:rsidR="00A627B6">
        <w:t>e draft TD outlines h</w:t>
      </w:r>
      <w:r>
        <w:t xml:space="preserve">ow </w:t>
      </w:r>
      <w:proofErr w:type="spellStart"/>
      <w:r>
        <w:t>JobKeeper</w:t>
      </w:r>
      <w:proofErr w:type="spellEnd"/>
      <w:r>
        <w:t xml:space="preserve"> </w:t>
      </w:r>
      <w:r w:rsidR="00B92A79">
        <w:t xml:space="preserve">will be </w:t>
      </w:r>
      <w:r>
        <w:t xml:space="preserve">treated </w:t>
      </w:r>
      <w:r w:rsidR="00A627B6">
        <w:t xml:space="preserve">for </w:t>
      </w:r>
      <w:r>
        <w:t xml:space="preserve">R&amp;D expenditure. </w:t>
      </w:r>
    </w:p>
    <w:p w14:paraId="2914E824" w14:textId="0DABE270" w:rsidR="007A1A0B" w:rsidRDefault="003D124B" w:rsidP="00074B44">
      <w:pPr>
        <w:pStyle w:val="ListParagraph"/>
        <w:numPr>
          <w:ilvl w:val="2"/>
          <w:numId w:val="44"/>
        </w:numPr>
      </w:pPr>
      <w:r>
        <w:t xml:space="preserve">Further clarification is available on </w:t>
      </w:r>
      <w:r w:rsidR="00B92A79">
        <w:t xml:space="preserve">the ATO </w:t>
      </w:r>
      <w:r>
        <w:t>website.</w:t>
      </w:r>
    </w:p>
    <w:p w14:paraId="40584300" w14:textId="16A907CB" w:rsidR="004C1A9A" w:rsidRDefault="004C1A9A" w:rsidP="008145E4">
      <w:pPr>
        <w:pStyle w:val="ListParagraph"/>
        <w:numPr>
          <w:ilvl w:val="1"/>
          <w:numId w:val="44"/>
        </w:numPr>
      </w:pPr>
      <w:r>
        <w:t xml:space="preserve">Members raised questions about how </w:t>
      </w:r>
      <w:proofErr w:type="spellStart"/>
      <w:r>
        <w:t>JobKeeper</w:t>
      </w:r>
      <w:proofErr w:type="spellEnd"/>
      <w:r>
        <w:t xml:space="preserve"> payments must be treated on </w:t>
      </w:r>
      <w:r w:rsidR="002E077E">
        <w:t xml:space="preserve">R&amp;DTI </w:t>
      </w:r>
      <w:r>
        <w:t>lodgements.</w:t>
      </w:r>
    </w:p>
    <w:p w14:paraId="150F3F61" w14:textId="6D9CADAB" w:rsidR="004C1A9A" w:rsidRDefault="004C1A9A" w:rsidP="008145E4">
      <w:pPr>
        <w:pStyle w:val="ListParagraph"/>
        <w:numPr>
          <w:ilvl w:val="2"/>
          <w:numId w:val="44"/>
        </w:numPr>
      </w:pPr>
      <w:r>
        <w:t xml:space="preserve">ATO is conscious of needing to provide certainty to market, but will take on feedback from public consultation </w:t>
      </w:r>
      <w:r w:rsidR="002E077E">
        <w:t>in finalising the</w:t>
      </w:r>
      <w:r>
        <w:t xml:space="preserve"> determination.</w:t>
      </w:r>
    </w:p>
    <w:p w14:paraId="6BFD0AED" w14:textId="46602DDB" w:rsidR="004C1A9A" w:rsidRDefault="004C1A9A" w:rsidP="008145E4">
      <w:pPr>
        <w:pStyle w:val="ListParagraph"/>
        <w:numPr>
          <w:ilvl w:val="1"/>
          <w:numId w:val="44"/>
        </w:numPr>
      </w:pPr>
      <w:r>
        <w:t>Member noted that the private bindings uptake seems low, ATO acknowledged this, but wasn’t able to provide causation</w:t>
      </w:r>
      <w:r w:rsidR="00A627B6">
        <w:t xml:space="preserve"> other than to offer the service for certainty</w:t>
      </w:r>
      <w:r>
        <w:t>.</w:t>
      </w:r>
    </w:p>
    <w:p w14:paraId="0AB17CD4" w14:textId="5F81D7D7" w:rsidR="00284315" w:rsidRDefault="00BB6831" w:rsidP="00074B44">
      <w:pPr>
        <w:pStyle w:val="ListParagraph"/>
        <w:numPr>
          <w:ilvl w:val="1"/>
          <w:numId w:val="44"/>
        </w:numPr>
      </w:pPr>
      <w:r>
        <w:t xml:space="preserve">The ATO </w:t>
      </w:r>
      <w:r w:rsidR="00FA15C3">
        <w:t>website is</w:t>
      </w:r>
      <w:r w:rsidR="007A1A0B">
        <w:t xml:space="preserve"> </w:t>
      </w:r>
      <w:r>
        <w:t>undergo</w:t>
      </w:r>
      <w:r w:rsidR="007A1A0B">
        <w:t>ing a refresh</w:t>
      </w:r>
      <w:r w:rsidR="00FA15C3">
        <w:t>.</w:t>
      </w:r>
    </w:p>
    <w:p w14:paraId="5BCCCAF8" w14:textId="5EC8EECC" w:rsidR="00FD41D5" w:rsidRDefault="00EA5A8A" w:rsidP="00FD41D5">
      <w:pPr>
        <w:pStyle w:val="ListParagraph"/>
        <w:numPr>
          <w:ilvl w:val="1"/>
          <w:numId w:val="44"/>
        </w:numPr>
      </w:pPr>
      <w:r>
        <w:t xml:space="preserve">Public Guidance on Expenditure </w:t>
      </w:r>
      <w:r w:rsidR="002D45D9">
        <w:t>and</w:t>
      </w:r>
      <w:r>
        <w:t xml:space="preserve"> </w:t>
      </w:r>
      <w:r w:rsidR="002D45D9">
        <w:t xml:space="preserve">Not </w:t>
      </w:r>
      <w:proofErr w:type="gramStart"/>
      <w:r w:rsidR="002D45D9">
        <w:t>At</w:t>
      </w:r>
      <w:proofErr w:type="gramEnd"/>
      <w:r>
        <w:t xml:space="preserve"> Risk and Building Exclusions is progressing, but currently </w:t>
      </w:r>
      <w:r w:rsidR="00A627B6">
        <w:t>delayed due to ATO resources being reallocated to deliver Government COVID-19 stimulus measures</w:t>
      </w:r>
      <w:r>
        <w:t>.</w:t>
      </w:r>
    </w:p>
    <w:p w14:paraId="21C21ABF" w14:textId="77777777" w:rsidR="00C00AB0" w:rsidRPr="00FD41D5" w:rsidRDefault="00C00AB0" w:rsidP="00B870D2"/>
    <w:p w14:paraId="5E53F675" w14:textId="3AA32FB3" w:rsidR="00EA7473" w:rsidRPr="00261F63" w:rsidRDefault="00261F63" w:rsidP="008E2037">
      <w:pPr>
        <w:pStyle w:val="Heading2"/>
      </w:pPr>
      <w:r>
        <w:rPr>
          <w:lang w:eastAsia="en-AU"/>
        </w:rPr>
        <w:t>R&amp;DTI Program Updates</w:t>
      </w:r>
      <w:r w:rsidR="001D57D1">
        <w:rPr>
          <w:lang w:eastAsia="en-AU"/>
        </w:rPr>
        <w:t xml:space="preserve"> and Administration reforms</w:t>
      </w:r>
    </w:p>
    <w:p w14:paraId="0CCF637A" w14:textId="1AFCB234" w:rsidR="002659D8" w:rsidRDefault="007F39C8" w:rsidP="00261F63">
      <w:pPr>
        <w:pStyle w:val="ListParagraph"/>
        <w:numPr>
          <w:ilvl w:val="0"/>
          <w:numId w:val="7"/>
        </w:numPr>
      </w:pPr>
      <w:r>
        <w:t xml:space="preserve">Feedback has been received on the Integrity Framework, the Service Commitment and the User Journey, all of which are available on </w:t>
      </w:r>
      <w:hyperlink r:id="rId14" w:history="1">
        <w:r w:rsidR="00261F63" w:rsidRPr="002D45D9">
          <w:rPr>
            <w:rStyle w:val="Hyperlink"/>
          </w:rPr>
          <w:t>business.gov.au</w:t>
        </w:r>
      </w:hyperlink>
      <w:r>
        <w:t xml:space="preserve">. </w:t>
      </w:r>
    </w:p>
    <w:p w14:paraId="0498A94C" w14:textId="77777777" w:rsidR="0015133C" w:rsidRDefault="0015133C" w:rsidP="0015133C">
      <w:pPr>
        <w:pStyle w:val="ListParagraph"/>
        <w:numPr>
          <w:ilvl w:val="0"/>
          <w:numId w:val="7"/>
        </w:numPr>
      </w:pPr>
      <w:r>
        <w:t xml:space="preserve">The </w:t>
      </w:r>
      <w:r w:rsidRPr="00183FBA">
        <w:rPr>
          <w:b/>
        </w:rPr>
        <w:t>Integrity Framework (IF)</w:t>
      </w:r>
      <w:r>
        <w:t xml:space="preserve"> outlines the department’s strategic approach to working with companies to support that the R&amp;D Tax Incentive is meeting its stated objectives. </w:t>
      </w:r>
    </w:p>
    <w:p w14:paraId="6FA36ED2" w14:textId="154DD0A0" w:rsidR="0015133C" w:rsidRDefault="0015133C" w:rsidP="0015133C">
      <w:pPr>
        <w:pStyle w:val="ListParagraph"/>
        <w:numPr>
          <w:ilvl w:val="0"/>
          <w:numId w:val="7"/>
        </w:numPr>
      </w:pPr>
      <w:r>
        <w:t xml:space="preserve">The intended outcome of the Integrity Framework is for businesses to accurately self-assess their eligibility for the R&amp;D Tax Incentive – encouraging quality self-assessment and meeting </w:t>
      </w:r>
      <w:r>
        <w:lastRenderedPageBreak/>
        <w:t>eligibility requirements as well as to influence non-compliant companies to change their claiming behaviour.</w:t>
      </w:r>
    </w:p>
    <w:p w14:paraId="085C8E74" w14:textId="4C83D94A" w:rsidR="0015133C" w:rsidRPr="0015133C" w:rsidRDefault="0015133C" w:rsidP="0015133C">
      <w:pPr>
        <w:pStyle w:val="ListParagraph"/>
        <w:numPr>
          <w:ilvl w:val="0"/>
          <w:numId w:val="7"/>
        </w:numPr>
      </w:pPr>
      <w:r>
        <w:t xml:space="preserve">The department has been applying the principles of the Integrity Framework since the start of financial year 2019-20. </w:t>
      </w:r>
      <w:r w:rsidRPr="0015133C">
        <w:t>At the same time, the department has an obligation to upholding the integrity of the program to ensure it is delivering value for the taxpayer and supporting R&amp;D that has the best chance of delivering broad benefits for the Australian economy.</w:t>
      </w:r>
    </w:p>
    <w:p w14:paraId="316F5FB3" w14:textId="79FC044F" w:rsidR="0015133C" w:rsidRDefault="0015133C" w:rsidP="00377ACB">
      <w:pPr>
        <w:pStyle w:val="ListParagraph"/>
        <w:numPr>
          <w:ilvl w:val="0"/>
          <w:numId w:val="7"/>
        </w:numPr>
      </w:pPr>
      <w:r>
        <w:t>The department is committed to ensuring that customer interactions are open and transparent, and that guidance and decisions are well informed and fact-based.</w:t>
      </w:r>
      <w:r w:rsidR="00B870D2">
        <w:t xml:space="preserve"> </w:t>
      </w:r>
      <w:r>
        <w:t>Most recent example being – sharing draft Internal Review reports before decision are finalised on cases.</w:t>
      </w:r>
    </w:p>
    <w:p w14:paraId="4608144D" w14:textId="3132B802" w:rsidR="0021246A" w:rsidRDefault="00EC5283" w:rsidP="00261F63">
      <w:pPr>
        <w:pStyle w:val="ListParagraph"/>
        <w:numPr>
          <w:ilvl w:val="0"/>
          <w:numId w:val="7"/>
        </w:numPr>
      </w:pPr>
      <w:r>
        <w:t>DISER has been</w:t>
      </w:r>
      <w:r w:rsidR="0021246A">
        <w:t xml:space="preserve"> </w:t>
      </w:r>
      <w:r w:rsidR="000808F5">
        <w:t xml:space="preserve">trialling the provision of </w:t>
      </w:r>
      <w:r w:rsidR="002E077E">
        <w:t xml:space="preserve">providing companies with a copy of the </w:t>
      </w:r>
      <w:r w:rsidRPr="00183FBA">
        <w:rPr>
          <w:b/>
        </w:rPr>
        <w:t xml:space="preserve">Draft </w:t>
      </w:r>
      <w:r w:rsidR="006A68CF" w:rsidRPr="00183FBA">
        <w:rPr>
          <w:b/>
        </w:rPr>
        <w:t>I</w:t>
      </w:r>
      <w:r w:rsidRPr="00183FBA">
        <w:rPr>
          <w:b/>
        </w:rPr>
        <w:t xml:space="preserve">nternal </w:t>
      </w:r>
      <w:r w:rsidR="006A68CF" w:rsidRPr="00183FBA">
        <w:rPr>
          <w:b/>
        </w:rPr>
        <w:t>R</w:t>
      </w:r>
      <w:r w:rsidRPr="00183FBA">
        <w:rPr>
          <w:b/>
        </w:rPr>
        <w:t>eports</w:t>
      </w:r>
      <w:r w:rsidR="0021246A">
        <w:t xml:space="preserve"> before finalising </w:t>
      </w:r>
      <w:r w:rsidR="002E077E">
        <w:t xml:space="preserve">review </w:t>
      </w:r>
      <w:r w:rsidR="0021246A">
        <w:t>decisions</w:t>
      </w:r>
      <w:r w:rsidR="002E077E">
        <w:t xml:space="preserve">. </w:t>
      </w:r>
    </w:p>
    <w:p w14:paraId="355EFFDF" w14:textId="44D97644" w:rsidR="00261F63" w:rsidRDefault="0021246A" w:rsidP="0021246A">
      <w:pPr>
        <w:pStyle w:val="ListParagraph"/>
        <w:numPr>
          <w:ilvl w:val="1"/>
          <w:numId w:val="7"/>
        </w:numPr>
      </w:pPr>
      <w:r>
        <w:t>Th</w:t>
      </w:r>
      <w:r w:rsidR="000808F5">
        <w:t>is</w:t>
      </w:r>
      <w:r w:rsidR="002E077E">
        <w:t xml:space="preserve"> process has</w:t>
      </w:r>
      <w:r w:rsidR="000808F5">
        <w:t xml:space="preserve"> received</w:t>
      </w:r>
      <w:r>
        <w:t xml:space="preserve"> overwhelming response, and has enabled companies to offer feedback </w:t>
      </w:r>
      <w:r w:rsidR="002E077E">
        <w:t xml:space="preserve">and clarify any factual errors, </w:t>
      </w:r>
      <w:r>
        <w:t>prior to finalisation</w:t>
      </w:r>
      <w:r w:rsidR="000808F5">
        <w:t xml:space="preserve"> of their decisions</w:t>
      </w:r>
      <w:r>
        <w:t>.</w:t>
      </w:r>
    </w:p>
    <w:p w14:paraId="3D6A3A54" w14:textId="03434868" w:rsidR="002E077E" w:rsidRDefault="00EE6250" w:rsidP="0021246A">
      <w:pPr>
        <w:pStyle w:val="ListParagraph"/>
        <w:numPr>
          <w:ilvl w:val="1"/>
          <w:numId w:val="7"/>
        </w:numPr>
      </w:pPr>
      <w:r>
        <w:t>Members welcome</w:t>
      </w:r>
      <w:r w:rsidR="00FA15C3">
        <w:t xml:space="preserve">d this process and </w:t>
      </w:r>
      <w:r>
        <w:t xml:space="preserve">questioned if there is an option to </w:t>
      </w:r>
      <w:r w:rsidR="0015133C">
        <w:t>undertake this action for the initial Finding</w:t>
      </w:r>
      <w:r w:rsidR="0074629C">
        <w:t xml:space="preserve"> review</w:t>
      </w:r>
      <w:r w:rsidR="0015133C">
        <w:t xml:space="preserve"> </w:t>
      </w:r>
      <w:r>
        <w:t xml:space="preserve">process. </w:t>
      </w:r>
    </w:p>
    <w:p w14:paraId="385604C8" w14:textId="66855DD1" w:rsidR="00DD3C32" w:rsidRDefault="00EE6250" w:rsidP="0021246A">
      <w:pPr>
        <w:pStyle w:val="ListParagraph"/>
        <w:numPr>
          <w:ilvl w:val="1"/>
          <w:numId w:val="7"/>
        </w:numPr>
      </w:pPr>
      <w:r>
        <w:t>DISER advised that this process is being used as a tri</w:t>
      </w:r>
      <w:r w:rsidR="002D45D9">
        <w:t>a</w:t>
      </w:r>
      <w:r>
        <w:t xml:space="preserve">l to </w:t>
      </w:r>
      <w:r w:rsidR="000808F5">
        <w:t>test the appetite for</w:t>
      </w:r>
      <w:r w:rsidR="0015133C">
        <w:t xml:space="preserve"> other compliance processes</w:t>
      </w:r>
      <w:r w:rsidR="000808F5">
        <w:t xml:space="preserve"> </w:t>
      </w:r>
    </w:p>
    <w:p w14:paraId="0C5F778B" w14:textId="1C6F2301" w:rsidR="00377ACB" w:rsidRDefault="00AC40AB" w:rsidP="00377ACB">
      <w:pPr>
        <w:pStyle w:val="ListParagraph"/>
        <w:numPr>
          <w:ilvl w:val="0"/>
          <w:numId w:val="7"/>
        </w:numPr>
      </w:pPr>
      <w:r>
        <w:t xml:space="preserve">The department </w:t>
      </w:r>
      <w:r w:rsidR="00377ACB">
        <w:t>undertake</w:t>
      </w:r>
      <w:r>
        <w:t>s</w:t>
      </w:r>
      <w:r w:rsidR="00377ACB">
        <w:t xml:space="preserve"> a range of activities to ensure the integrity of the program, including education, guidance, reviews and legislative compliance activities.</w:t>
      </w:r>
    </w:p>
    <w:p w14:paraId="4579CDFC" w14:textId="77777777" w:rsidR="00377ACB" w:rsidRDefault="00377ACB" w:rsidP="00377ACB">
      <w:pPr>
        <w:pStyle w:val="ListParagraph"/>
        <w:numPr>
          <w:ilvl w:val="0"/>
          <w:numId w:val="7"/>
        </w:numPr>
      </w:pPr>
      <w:r>
        <w:t>The level and focus of the Department’s compliance and education activities is guided by the nature of the risks identified. This includes past and present behaviours of registrants.</w:t>
      </w:r>
    </w:p>
    <w:p w14:paraId="6CE0291E" w14:textId="77777777" w:rsidR="00377ACB" w:rsidRDefault="00377ACB" w:rsidP="00377ACB">
      <w:pPr>
        <w:pStyle w:val="ListParagraph"/>
        <w:numPr>
          <w:ilvl w:val="0"/>
          <w:numId w:val="7"/>
        </w:numPr>
      </w:pPr>
      <w:r>
        <w:t>These improvements aim to ensure that businesses have clear guidance and education to assist them understand the eligibility requirements of the program, as well as ensuring the program addresses and manages high risk to prevent jeopardising the integrity of the program.</w:t>
      </w:r>
    </w:p>
    <w:p w14:paraId="74D5D76C" w14:textId="1DBEA797" w:rsidR="0025062B" w:rsidRDefault="0025062B" w:rsidP="0021246A">
      <w:pPr>
        <w:pStyle w:val="ListParagraph"/>
        <w:numPr>
          <w:ilvl w:val="0"/>
          <w:numId w:val="7"/>
        </w:numPr>
      </w:pPr>
      <w:r>
        <w:t>Members were asked for feedback on the following questions:</w:t>
      </w:r>
    </w:p>
    <w:p w14:paraId="6C4DEE1A" w14:textId="77777777" w:rsidR="0025062B" w:rsidRPr="00183FBA" w:rsidRDefault="0025062B" w:rsidP="0025062B">
      <w:pPr>
        <w:pStyle w:val="ListParagraph"/>
        <w:numPr>
          <w:ilvl w:val="1"/>
          <w:numId w:val="7"/>
        </w:numPr>
        <w:rPr>
          <w:i/>
        </w:rPr>
      </w:pPr>
      <w:proofErr w:type="gramStart"/>
      <w:r w:rsidRPr="00183FBA">
        <w:rPr>
          <w:i/>
        </w:rPr>
        <w:t>what</w:t>
      </w:r>
      <w:proofErr w:type="gramEnd"/>
      <w:r w:rsidRPr="00183FBA">
        <w:rPr>
          <w:i/>
        </w:rPr>
        <w:t xml:space="preserve"> advice would you provide in developing strategies to educate a broad range of participants in the program with an intent to improve integrity and program objectives? </w:t>
      </w:r>
    </w:p>
    <w:p w14:paraId="135B4171" w14:textId="77777777" w:rsidR="0025062B" w:rsidRPr="00183FBA" w:rsidRDefault="0025062B" w:rsidP="0025062B">
      <w:pPr>
        <w:pStyle w:val="ListParagraph"/>
        <w:numPr>
          <w:ilvl w:val="1"/>
          <w:numId w:val="7"/>
        </w:numPr>
        <w:rPr>
          <w:i/>
        </w:rPr>
      </w:pPr>
      <w:proofErr w:type="gramStart"/>
      <w:r w:rsidRPr="00183FBA">
        <w:rPr>
          <w:i/>
        </w:rPr>
        <w:t>what</w:t>
      </w:r>
      <w:proofErr w:type="gramEnd"/>
      <w:r w:rsidRPr="00183FBA">
        <w:rPr>
          <w:i/>
        </w:rPr>
        <w:t xml:space="preserve"> outputs would you expect to see in such a strategy particularly to manage the balance of guidance and integrity? </w:t>
      </w:r>
    </w:p>
    <w:p w14:paraId="2EEA3DA8" w14:textId="77777777" w:rsidR="0025062B" w:rsidRDefault="0025062B" w:rsidP="0025062B">
      <w:pPr>
        <w:pStyle w:val="ListParagraph"/>
        <w:numPr>
          <w:ilvl w:val="1"/>
          <w:numId w:val="7"/>
        </w:numPr>
      </w:pPr>
      <w:proofErr w:type="gramStart"/>
      <w:r w:rsidRPr="00183FBA">
        <w:rPr>
          <w:i/>
        </w:rPr>
        <w:t>how</w:t>
      </w:r>
      <w:proofErr w:type="gramEnd"/>
      <w:r w:rsidRPr="00183FBA">
        <w:rPr>
          <w:i/>
        </w:rPr>
        <w:t xml:space="preserve"> would you see your role in relation to the delivery of these strategies? </w:t>
      </w:r>
    </w:p>
    <w:p w14:paraId="54CF375A" w14:textId="77777777" w:rsidR="0025062B" w:rsidRDefault="0021246A" w:rsidP="0025062B">
      <w:pPr>
        <w:pStyle w:val="ListParagraph"/>
        <w:numPr>
          <w:ilvl w:val="0"/>
          <w:numId w:val="7"/>
        </w:numPr>
      </w:pPr>
      <w:r>
        <w:t xml:space="preserve">Members </w:t>
      </w:r>
      <w:r w:rsidR="000808F5">
        <w:t>indicated enthusiasm to assist in the consultation of these measures</w:t>
      </w:r>
      <w:r w:rsidR="00FA15C3">
        <w:t xml:space="preserve">. </w:t>
      </w:r>
    </w:p>
    <w:p w14:paraId="2DAF841B" w14:textId="64434DE6" w:rsidR="00EC5283" w:rsidRDefault="00FA15C3" w:rsidP="0025062B">
      <w:pPr>
        <w:pStyle w:val="ListParagraph"/>
        <w:numPr>
          <w:ilvl w:val="0"/>
          <w:numId w:val="7"/>
        </w:numPr>
      </w:pPr>
      <w:r>
        <w:t>Members also noted that while these processes are transitional in nature, patience with</w:t>
      </w:r>
      <w:r w:rsidR="00B870D2">
        <w:t xml:space="preserve"> companies</w:t>
      </w:r>
      <w:r>
        <w:t xml:space="preserve"> will be required.</w:t>
      </w:r>
    </w:p>
    <w:p w14:paraId="3F7A2E01" w14:textId="16336EE7" w:rsidR="001D57D1" w:rsidRDefault="001D57D1" w:rsidP="001D57D1">
      <w:pPr>
        <w:pStyle w:val="ListParagraph"/>
        <w:numPr>
          <w:ilvl w:val="0"/>
          <w:numId w:val="7"/>
        </w:numPr>
      </w:pPr>
      <w:r>
        <w:t xml:space="preserve">The R&amp;DTI will be implementing a </w:t>
      </w:r>
      <w:r w:rsidRPr="00183FBA">
        <w:rPr>
          <w:b/>
        </w:rPr>
        <w:t xml:space="preserve">new online Portal </w:t>
      </w:r>
      <w:r w:rsidR="00306BBE" w:rsidRPr="00183FBA">
        <w:rPr>
          <w:b/>
        </w:rPr>
        <w:t xml:space="preserve">for </w:t>
      </w:r>
      <w:r w:rsidR="00E55A13" w:rsidRPr="00183FBA">
        <w:rPr>
          <w:b/>
        </w:rPr>
        <w:t>registration</w:t>
      </w:r>
      <w:r w:rsidR="00306BBE" w:rsidRPr="00183FBA">
        <w:rPr>
          <w:b/>
        </w:rPr>
        <w:t xml:space="preserve"> and Advance and </w:t>
      </w:r>
      <w:r w:rsidR="00E55A13" w:rsidRPr="00183FBA">
        <w:rPr>
          <w:b/>
        </w:rPr>
        <w:t>Overseas</w:t>
      </w:r>
      <w:r w:rsidR="00306BBE" w:rsidRPr="00183FBA">
        <w:rPr>
          <w:b/>
        </w:rPr>
        <w:t xml:space="preserve"> </w:t>
      </w:r>
      <w:r w:rsidR="00FA15C3" w:rsidRPr="00183FBA">
        <w:rPr>
          <w:b/>
        </w:rPr>
        <w:t>F</w:t>
      </w:r>
      <w:r w:rsidR="00306BBE" w:rsidRPr="00183FBA">
        <w:rPr>
          <w:b/>
        </w:rPr>
        <w:t>indings</w:t>
      </w:r>
      <w:r w:rsidR="002E077E">
        <w:t xml:space="preserve"> from 1 July 2021.</w:t>
      </w:r>
    </w:p>
    <w:p w14:paraId="056772D6" w14:textId="40CFFF0B" w:rsidR="002E077E" w:rsidRDefault="00FA15C3" w:rsidP="002E077E">
      <w:pPr>
        <w:pStyle w:val="ListParagraph"/>
        <w:numPr>
          <w:ilvl w:val="1"/>
          <w:numId w:val="7"/>
        </w:numPr>
      </w:pPr>
      <w:r>
        <w:t xml:space="preserve">User testing will be undertaken and the Portal </w:t>
      </w:r>
      <w:r w:rsidR="002E077E">
        <w:t xml:space="preserve">will be available for access prior to </w:t>
      </w:r>
      <w:r>
        <w:t>1 July 2021</w:t>
      </w:r>
      <w:r w:rsidR="002E077E">
        <w:t xml:space="preserve"> to enable information to be populated. </w:t>
      </w:r>
    </w:p>
    <w:p w14:paraId="4BAD48BE" w14:textId="66252F2C" w:rsidR="00E55A13" w:rsidRDefault="00FA15C3" w:rsidP="00074B44">
      <w:pPr>
        <w:pStyle w:val="ListParagraph"/>
        <w:numPr>
          <w:ilvl w:val="2"/>
          <w:numId w:val="7"/>
        </w:numPr>
      </w:pPr>
      <w:r>
        <w:t xml:space="preserve">The ability to submit registrations will only be possible post 1 July 2021. </w:t>
      </w:r>
    </w:p>
    <w:p w14:paraId="041D2926" w14:textId="1B3C5332" w:rsidR="00384057" w:rsidRDefault="00384057" w:rsidP="00E55A13">
      <w:pPr>
        <w:pStyle w:val="ListParagraph"/>
        <w:numPr>
          <w:ilvl w:val="1"/>
          <w:numId w:val="7"/>
        </w:numPr>
      </w:pPr>
      <w:r>
        <w:t xml:space="preserve">The </w:t>
      </w:r>
      <w:r w:rsidR="00FA15C3">
        <w:t>P</w:t>
      </w:r>
      <w:r>
        <w:t xml:space="preserve">ortal will use the </w:t>
      </w:r>
      <w:proofErr w:type="spellStart"/>
      <w:r>
        <w:t>MyGov</w:t>
      </w:r>
      <w:proofErr w:type="spellEnd"/>
      <w:r>
        <w:t xml:space="preserve"> authentication system </w:t>
      </w:r>
      <w:r w:rsidR="00D65BAF">
        <w:t>ensuring that</w:t>
      </w:r>
      <w:r>
        <w:t xml:space="preserve"> </w:t>
      </w:r>
      <w:r w:rsidR="00D65BAF">
        <w:t>interactions</w:t>
      </w:r>
      <w:r>
        <w:t xml:space="preserve"> will be secure and only access</w:t>
      </w:r>
      <w:r w:rsidR="00D65BAF">
        <w:t xml:space="preserve">ible </w:t>
      </w:r>
      <w:r>
        <w:t>by authorised users.</w:t>
      </w:r>
    </w:p>
    <w:p w14:paraId="3F4C800B" w14:textId="1B0E6D79" w:rsidR="00384057" w:rsidRDefault="00A50003" w:rsidP="00E55A13">
      <w:pPr>
        <w:pStyle w:val="ListParagraph"/>
        <w:numPr>
          <w:ilvl w:val="1"/>
          <w:numId w:val="7"/>
        </w:numPr>
      </w:pPr>
      <w:r>
        <w:t xml:space="preserve">Roundtable </w:t>
      </w:r>
      <w:r w:rsidR="00384057">
        <w:t>members will be invited to attend sessions</w:t>
      </w:r>
      <w:r w:rsidR="000314DF">
        <w:t xml:space="preserve"> </w:t>
      </w:r>
      <w:r w:rsidR="00384057">
        <w:t>to offer input and user consultation</w:t>
      </w:r>
      <w:r w:rsidR="00D65BAF">
        <w:t xml:space="preserve"> into the Portal design</w:t>
      </w:r>
      <w:r w:rsidR="002D45D9">
        <w:t xml:space="preserve"> </w:t>
      </w:r>
      <w:r w:rsidR="00A838CB">
        <w:t>in Augu</w:t>
      </w:r>
      <w:r w:rsidR="000314DF">
        <w:t xml:space="preserve">st </w:t>
      </w:r>
      <w:r w:rsidR="00D65BAF">
        <w:t xml:space="preserve">2020 </w:t>
      </w:r>
      <w:r w:rsidR="000314DF">
        <w:t xml:space="preserve">and October </w:t>
      </w:r>
      <w:r w:rsidR="00D65BAF">
        <w:t>2020</w:t>
      </w:r>
      <w:r w:rsidR="000314DF">
        <w:t>.</w:t>
      </w:r>
    </w:p>
    <w:p w14:paraId="7FCFCE40" w14:textId="5EE0EBEB" w:rsidR="000B18ED" w:rsidRDefault="000B18ED" w:rsidP="000B18ED">
      <w:pPr>
        <w:pStyle w:val="ListParagraph"/>
        <w:numPr>
          <w:ilvl w:val="2"/>
          <w:numId w:val="7"/>
        </w:numPr>
      </w:pPr>
      <w:r>
        <w:t>Members questioned if</w:t>
      </w:r>
      <w:r w:rsidR="00A838CB">
        <w:t xml:space="preserve"> net</w:t>
      </w:r>
      <w:r w:rsidR="004B7269">
        <w:t xml:space="preserve">work architecture will allow </w:t>
      </w:r>
      <w:r>
        <w:t>for core data to be carried over from the previous year.</w:t>
      </w:r>
    </w:p>
    <w:p w14:paraId="54C8064A" w14:textId="30B00072" w:rsidR="00D65BAF" w:rsidRDefault="00A50003" w:rsidP="00D65BAF">
      <w:pPr>
        <w:pStyle w:val="ListParagraph"/>
        <w:numPr>
          <w:ilvl w:val="3"/>
          <w:numId w:val="7"/>
        </w:numPr>
      </w:pPr>
      <w:r>
        <w:t>DISER advised that f</w:t>
      </w:r>
      <w:r w:rsidR="0059739B">
        <w:t xml:space="preserve">or the first year, </w:t>
      </w:r>
      <w:r w:rsidR="00D65BAF">
        <w:t>there will be no pre-fill function</w:t>
      </w:r>
      <w:r w:rsidR="002E077E">
        <w:t xml:space="preserve"> abilities from past applications</w:t>
      </w:r>
      <w:r w:rsidR="00D65BAF">
        <w:t>, however, moving forward beyond the first year this function will be available</w:t>
      </w:r>
      <w:r w:rsidR="002E077E">
        <w:t xml:space="preserve"> within the new Portal</w:t>
      </w:r>
      <w:r w:rsidR="00D65BAF">
        <w:t xml:space="preserve">. </w:t>
      </w:r>
    </w:p>
    <w:p w14:paraId="031C117C" w14:textId="4678DE5C" w:rsidR="00D65BAF" w:rsidRDefault="00D65BAF" w:rsidP="00074B44">
      <w:pPr>
        <w:pStyle w:val="ListParagraph"/>
        <w:numPr>
          <w:ilvl w:val="0"/>
          <w:numId w:val="7"/>
        </w:numPr>
      </w:pPr>
      <w:r w:rsidRPr="00183FBA">
        <w:rPr>
          <w:b/>
        </w:rPr>
        <w:lastRenderedPageBreak/>
        <w:t xml:space="preserve">A refreshed </w:t>
      </w:r>
      <w:r w:rsidR="00C9128F" w:rsidRPr="00183FBA">
        <w:rPr>
          <w:b/>
        </w:rPr>
        <w:t xml:space="preserve">Guide to </w:t>
      </w:r>
      <w:r w:rsidR="00A50003" w:rsidRPr="00183FBA">
        <w:rPr>
          <w:b/>
        </w:rPr>
        <w:t>I</w:t>
      </w:r>
      <w:r w:rsidR="007B65D8" w:rsidRPr="00183FBA">
        <w:rPr>
          <w:b/>
        </w:rPr>
        <w:t>nterpretation</w:t>
      </w:r>
      <w:r w:rsidR="00C9128F">
        <w:t xml:space="preserve"> </w:t>
      </w:r>
      <w:r>
        <w:t>will be circulated for consultation in the coming weeks.</w:t>
      </w:r>
    </w:p>
    <w:p w14:paraId="74C2C0B2" w14:textId="0702D0DB" w:rsidR="00D65BAF" w:rsidRDefault="00D65BAF" w:rsidP="002E077E">
      <w:pPr>
        <w:pStyle w:val="ListParagraph"/>
        <w:numPr>
          <w:ilvl w:val="1"/>
          <w:numId w:val="7"/>
        </w:numPr>
      </w:pPr>
      <w:r>
        <w:t xml:space="preserve">The guide will </w:t>
      </w:r>
      <w:r w:rsidR="007B65D8">
        <w:t xml:space="preserve">feature plainer English, simpler features and an example to highlight how </w:t>
      </w:r>
      <w:r w:rsidR="00B870D2">
        <w:t xml:space="preserve">the legislation can be </w:t>
      </w:r>
      <w:r w:rsidR="007B65D8">
        <w:t xml:space="preserve">applied in a practical manner. </w:t>
      </w:r>
    </w:p>
    <w:p w14:paraId="254C1B84" w14:textId="5A275427" w:rsidR="0070605A" w:rsidRPr="008E2037" w:rsidRDefault="002E077E" w:rsidP="008E2037">
      <w:pPr>
        <w:pStyle w:val="ListParagraph"/>
        <w:numPr>
          <w:ilvl w:val="1"/>
          <w:numId w:val="7"/>
        </w:numPr>
      </w:pPr>
      <w:r>
        <w:t>The consultation process will be communicated via the R&amp;DTI e-b</w:t>
      </w:r>
      <w:r w:rsidR="004B7269">
        <w:t>ulletin.</w:t>
      </w:r>
    </w:p>
    <w:p w14:paraId="2F7C6E40" w14:textId="009F9679" w:rsidR="00261F63" w:rsidRPr="00EA7473" w:rsidRDefault="00261F63" w:rsidP="008E2037">
      <w:pPr>
        <w:pStyle w:val="Heading2"/>
      </w:pPr>
      <w:r>
        <w:rPr>
          <w:lang w:eastAsia="en-AU"/>
        </w:rPr>
        <w:t xml:space="preserve">Any </w:t>
      </w:r>
      <w:r w:rsidR="00A50003">
        <w:rPr>
          <w:lang w:eastAsia="en-AU"/>
        </w:rPr>
        <w:t>o</w:t>
      </w:r>
      <w:r>
        <w:rPr>
          <w:lang w:eastAsia="en-AU"/>
        </w:rPr>
        <w:t xml:space="preserve">utstanding </w:t>
      </w:r>
      <w:r w:rsidR="00A50003">
        <w:rPr>
          <w:lang w:eastAsia="en-AU"/>
        </w:rPr>
        <w:t>i</w:t>
      </w:r>
      <w:r>
        <w:rPr>
          <w:lang w:eastAsia="en-AU"/>
        </w:rPr>
        <w:t>tems and close</w:t>
      </w:r>
    </w:p>
    <w:p w14:paraId="174B473B" w14:textId="505B98EE" w:rsidR="007B65D8" w:rsidRDefault="007B65D8" w:rsidP="00EA7473">
      <w:pPr>
        <w:pStyle w:val="ListParagraph"/>
        <w:numPr>
          <w:ilvl w:val="0"/>
          <w:numId w:val="7"/>
        </w:numPr>
      </w:pPr>
      <w:r>
        <w:t>Participants</w:t>
      </w:r>
      <w:r w:rsidR="00237B93">
        <w:t xml:space="preserve"> requested an opportunity to provide feedback</w:t>
      </w:r>
      <w:r w:rsidR="00D65BAF">
        <w:t xml:space="preserve"> for the format and structure of future Roundtable meetings</w:t>
      </w:r>
      <w:r w:rsidR="00237B93">
        <w:t xml:space="preserve">. </w:t>
      </w:r>
    </w:p>
    <w:p w14:paraId="01D47873" w14:textId="138A8A02" w:rsidR="005737EB" w:rsidRDefault="00D65BAF" w:rsidP="00492901">
      <w:pPr>
        <w:pStyle w:val="ListParagraph"/>
        <w:numPr>
          <w:ilvl w:val="1"/>
          <w:numId w:val="7"/>
        </w:numPr>
      </w:pPr>
      <w:r>
        <w:t xml:space="preserve">A survey will be circulated to attendees </w:t>
      </w:r>
      <w:r w:rsidR="008B72D1">
        <w:t>to</w:t>
      </w:r>
      <w:r w:rsidR="0070605A">
        <w:t xml:space="preserve"> </w:t>
      </w:r>
      <w:r w:rsidR="005737EB">
        <w:t xml:space="preserve">offer feedback </w:t>
      </w:r>
      <w:r>
        <w:t>on the general concept of the Roundtables, format and structure noting that future Roundtables at this point will also be r</w:t>
      </w:r>
      <w:r w:rsidR="002D45D9">
        <w:t>u</w:t>
      </w:r>
      <w:r>
        <w:t>n virtually.</w:t>
      </w:r>
    </w:p>
    <w:p w14:paraId="27B38AEA" w14:textId="2B93A8D8" w:rsidR="00EA7473" w:rsidRPr="00ED0B54" w:rsidRDefault="00D65BAF" w:rsidP="00EA7473">
      <w:pPr>
        <w:pStyle w:val="ListParagraph"/>
        <w:numPr>
          <w:ilvl w:val="0"/>
          <w:numId w:val="7"/>
        </w:numPr>
      </w:pPr>
      <w:r>
        <w:t>The next Roundtable is proposed to be held in mid-November</w:t>
      </w:r>
      <w:r w:rsidR="002D45D9">
        <w:t xml:space="preserve"> 2020</w:t>
      </w:r>
      <w:r>
        <w:t>.</w:t>
      </w:r>
    </w:p>
    <w:p w14:paraId="342FB3D4" w14:textId="0DE4FBE7" w:rsidR="00EA7473" w:rsidRDefault="00EA7473" w:rsidP="00661CBF">
      <w:pPr>
        <w:pStyle w:val="ListParagraph"/>
        <w:numPr>
          <w:ilvl w:val="1"/>
          <w:numId w:val="7"/>
        </w:numPr>
      </w:pPr>
      <w:r w:rsidRPr="00ED0B54">
        <w:t>The location</w:t>
      </w:r>
      <w:r w:rsidR="00D65BAF">
        <w:t xml:space="preserve"> (most likely virtual)</w:t>
      </w:r>
      <w:r w:rsidRPr="00ED0B54">
        <w:t xml:space="preserve">, timing and invitee list for the </w:t>
      </w:r>
      <w:r w:rsidR="00A50003">
        <w:t>November</w:t>
      </w:r>
      <w:r w:rsidR="00A50003" w:rsidRPr="00ED0B54">
        <w:t xml:space="preserve"> </w:t>
      </w:r>
      <w:r w:rsidRPr="00ED0B54">
        <w:t>2020 Roundtable will be determined closer to the date</w:t>
      </w:r>
      <w:r w:rsidR="00D65BAF">
        <w:t>.</w:t>
      </w:r>
      <w:r w:rsidRPr="00ED0B54">
        <w:t xml:space="preserve"> </w:t>
      </w:r>
    </w:p>
    <w:p w14:paraId="69BEB045" w14:textId="77777777" w:rsidR="00EE5D77" w:rsidRDefault="00EE5D77" w:rsidP="0017496A">
      <w:pPr>
        <w:spacing w:after="0" w:line="240" w:lineRule="auto"/>
      </w:pPr>
    </w:p>
    <w:tbl>
      <w:tblPr>
        <w:tblStyle w:val="TableGrid"/>
        <w:tblW w:w="9464" w:type="dxa"/>
        <w:tblInd w:w="-113" w:type="dxa"/>
        <w:tblLook w:val="04A0" w:firstRow="1" w:lastRow="0" w:firstColumn="1" w:lastColumn="0" w:noHBand="0" w:noVBand="1"/>
        <w:tblCaption w:val="R&amp;DTI Roundtable Action Items"/>
      </w:tblPr>
      <w:tblGrid>
        <w:gridCol w:w="5835"/>
        <w:gridCol w:w="1566"/>
        <w:gridCol w:w="2063"/>
      </w:tblGrid>
      <w:tr w:rsidR="0017496A" w:rsidRPr="009E0AB4" w14:paraId="47401E69" w14:textId="77777777" w:rsidTr="008E2037">
        <w:trPr>
          <w:trHeight w:val="375"/>
          <w:tblHeader/>
        </w:trPr>
        <w:tc>
          <w:tcPr>
            <w:tcW w:w="5835" w:type="dxa"/>
            <w:shd w:val="clear" w:color="auto" w:fill="9CC2E5" w:themeFill="accent1" w:themeFillTint="99"/>
          </w:tcPr>
          <w:p w14:paraId="555595BB" w14:textId="77777777" w:rsidR="0017496A" w:rsidRPr="009E0AB4" w:rsidRDefault="0017496A" w:rsidP="00110E3F">
            <w:pPr>
              <w:rPr>
                <w:b/>
                <w:sz w:val="24"/>
              </w:rPr>
            </w:pPr>
            <w:r w:rsidRPr="009E0AB4">
              <w:rPr>
                <w:b/>
                <w:sz w:val="24"/>
              </w:rPr>
              <w:t>Action Item</w:t>
            </w:r>
            <w:r>
              <w:rPr>
                <w:b/>
                <w:sz w:val="24"/>
              </w:rPr>
              <w:t>s</w:t>
            </w:r>
          </w:p>
        </w:tc>
        <w:tc>
          <w:tcPr>
            <w:tcW w:w="1566" w:type="dxa"/>
            <w:shd w:val="clear" w:color="auto" w:fill="9CC2E5" w:themeFill="accent1" w:themeFillTint="99"/>
          </w:tcPr>
          <w:p w14:paraId="4F5E16A7" w14:textId="77777777" w:rsidR="0017496A" w:rsidRPr="009E0AB4" w:rsidRDefault="0017496A" w:rsidP="00110E3F">
            <w:pPr>
              <w:rPr>
                <w:b/>
                <w:sz w:val="24"/>
              </w:rPr>
            </w:pPr>
            <w:r w:rsidRPr="009E0AB4">
              <w:rPr>
                <w:b/>
                <w:sz w:val="24"/>
              </w:rPr>
              <w:t>Ownership</w:t>
            </w:r>
          </w:p>
        </w:tc>
        <w:tc>
          <w:tcPr>
            <w:tcW w:w="2063" w:type="dxa"/>
            <w:shd w:val="clear" w:color="auto" w:fill="9CC2E5" w:themeFill="accent1" w:themeFillTint="99"/>
          </w:tcPr>
          <w:p w14:paraId="6797D7D6" w14:textId="77777777" w:rsidR="0017496A" w:rsidRPr="009E0AB4" w:rsidRDefault="0017496A" w:rsidP="00110E3F">
            <w:pPr>
              <w:rPr>
                <w:b/>
                <w:sz w:val="24"/>
              </w:rPr>
            </w:pPr>
            <w:r w:rsidRPr="009E0AB4">
              <w:rPr>
                <w:b/>
                <w:sz w:val="24"/>
              </w:rPr>
              <w:t>Due Date</w:t>
            </w:r>
          </w:p>
        </w:tc>
      </w:tr>
      <w:tr w:rsidR="0017496A" w14:paraId="5F2B3FAF" w14:textId="77777777" w:rsidTr="007B65D8">
        <w:trPr>
          <w:trHeight w:val="481"/>
        </w:trPr>
        <w:tc>
          <w:tcPr>
            <w:tcW w:w="5835" w:type="dxa"/>
          </w:tcPr>
          <w:p w14:paraId="56B6446D" w14:textId="77777777" w:rsidR="005400DD" w:rsidRDefault="0012127B" w:rsidP="00110E3F">
            <w:r>
              <w:t>Extending this conversation – understanding concerns in the program from participants</w:t>
            </w:r>
          </w:p>
          <w:p w14:paraId="01DB6AAE" w14:textId="3076B3F7" w:rsidR="00EA0791" w:rsidRDefault="00EA0791" w:rsidP="00110E3F"/>
        </w:tc>
        <w:tc>
          <w:tcPr>
            <w:tcW w:w="1566" w:type="dxa"/>
          </w:tcPr>
          <w:p w14:paraId="59984217" w14:textId="693524BA" w:rsidR="00580277" w:rsidRDefault="0012127B" w:rsidP="00110E3F">
            <w:r>
              <w:t>DISER/ATO</w:t>
            </w:r>
          </w:p>
        </w:tc>
        <w:tc>
          <w:tcPr>
            <w:tcW w:w="2063" w:type="dxa"/>
          </w:tcPr>
          <w:p w14:paraId="412C64FE" w14:textId="6092156B" w:rsidR="0017496A" w:rsidRDefault="00A36FF2">
            <w:r>
              <w:t xml:space="preserve">Survey following Nov Roundtable </w:t>
            </w:r>
          </w:p>
        </w:tc>
      </w:tr>
      <w:tr w:rsidR="0017496A" w14:paraId="4DF15A32" w14:textId="77777777" w:rsidTr="007B65D8">
        <w:trPr>
          <w:trHeight w:val="481"/>
        </w:trPr>
        <w:tc>
          <w:tcPr>
            <w:tcW w:w="5835" w:type="dxa"/>
          </w:tcPr>
          <w:p w14:paraId="19370D7E" w14:textId="57AF03B6" w:rsidR="0017496A" w:rsidRDefault="009D779C" w:rsidP="00110E3F">
            <w:r>
              <w:t>Joint podcast between ATO and DISER</w:t>
            </w:r>
          </w:p>
        </w:tc>
        <w:tc>
          <w:tcPr>
            <w:tcW w:w="1566" w:type="dxa"/>
          </w:tcPr>
          <w:p w14:paraId="700D6A58" w14:textId="12118DB1" w:rsidR="00580277" w:rsidRDefault="00A50003" w:rsidP="00110E3F">
            <w:r>
              <w:t>DISER/ATO</w:t>
            </w:r>
          </w:p>
        </w:tc>
        <w:tc>
          <w:tcPr>
            <w:tcW w:w="2063" w:type="dxa"/>
          </w:tcPr>
          <w:p w14:paraId="4DB5AE6D" w14:textId="72FE5217" w:rsidR="0017496A" w:rsidRDefault="00A36FF2" w:rsidP="00110E3F">
            <w:r>
              <w:t>March 2020</w:t>
            </w:r>
          </w:p>
        </w:tc>
      </w:tr>
      <w:tr w:rsidR="00F85366" w14:paraId="514E9155" w14:textId="77777777" w:rsidTr="007B65D8">
        <w:trPr>
          <w:trHeight w:val="481"/>
        </w:trPr>
        <w:tc>
          <w:tcPr>
            <w:tcW w:w="5835" w:type="dxa"/>
          </w:tcPr>
          <w:p w14:paraId="52D9FD97" w14:textId="605D934A" w:rsidR="00F85366" w:rsidRDefault="00C5414C">
            <w:r>
              <w:t>Evaluating the success of the Roundtables against their intent</w:t>
            </w:r>
          </w:p>
        </w:tc>
        <w:tc>
          <w:tcPr>
            <w:tcW w:w="1566" w:type="dxa"/>
          </w:tcPr>
          <w:p w14:paraId="0FE27C93" w14:textId="44DD3A67" w:rsidR="00F85366" w:rsidRDefault="00A50003" w:rsidP="00110E3F">
            <w:r>
              <w:t>DISER</w:t>
            </w:r>
            <w:r w:rsidR="002D45D9">
              <w:t>/ATO</w:t>
            </w:r>
          </w:p>
        </w:tc>
        <w:tc>
          <w:tcPr>
            <w:tcW w:w="2063" w:type="dxa"/>
          </w:tcPr>
          <w:p w14:paraId="7ED1CA65" w14:textId="6DA4E74E" w:rsidR="00F85366" w:rsidRDefault="00A36FF2" w:rsidP="00110E3F">
            <w:r>
              <w:t xml:space="preserve">Survey following Nov Roundtable </w:t>
            </w:r>
          </w:p>
        </w:tc>
      </w:tr>
      <w:tr w:rsidR="00C5414C" w14:paraId="51163E21" w14:textId="77777777" w:rsidTr="007B65D8">
        <w:trPr>
          <w:trHeight w:val="481"/>
        </w:trPr>
        <w:tc>
          <w:tcPr>
            <w:tcW w:w="5835" w:type="dxa"/>
          </w:tcPr>
          <w:p w14:paraId="5017CF1E" w14:textId="3B5CB81C" w:rsidR="00C5414C" w:rsidRDefault="00B30D7B">
            <w:r>
              <w:t xml:space="preserve">Joint </w:t>
            </w:r>
            <w:r w:rsidR="002D45D9">
              <w:t>g</w:t>
            </w:r>
            <w:r>
              <w:t>uidance</w:t>
            </w:r>
            <w:r w:rsidR="00183FBA">
              <w:t xml:space="preserve"> products</w:t>
            </w:r>
            <w:r>
              <w:t xml:space="preserve"> from ATO and DISER </w:t>
            </w:r>
          </w:p>
        </w:tc>
        <w:tc>
          <w:tcPr>
            <w:tcW w:w="1566" w:type="dxa"/>
          </w:tcPr>
          <w:p w14:paraId="3C718F42" w14:textId="6A27F4A0" w:rsidR="00C5414C" w:rsidRDefault="00A50003" w:rsidP="00110E3F">
            <w:r>
              <w:t>DISER/ATO</w:t>
            </w:r>
          </w:p>
        </w:tc>
        <w:tc>
          <w:tcPr>
            <w:tcW w:w="2063" w:type="dxa"/>
          </w:tcPr>
          <w:p w14:paraId="6B91BD40" w14:textId="08A5F5BD" w:rsidR="00C5414C" w:rsidRDefault="00EA0791" w:rsidP="00BB7812">
            <w:r>
              <w:t>March 202</w:t>
            </w:r>
            <w:r w:rsidR="00BB7812">
              <w:t>1</w:t>
            </w:r>
          </w:p>
        </w:tc>
      </w:tr>
      <w:tr w:rsidR="00C5414C" w14:paraId="205DFA05" w14:textId="77777777" w:rsidTr="007B65D8">
        <w:trPr>
          <w:trHeight w:val="481"/>
        </w:trPr>
        <w:tc>
          <w:tcPr>
            <w:tcW w:w="5835" w:type="dxa"/>
          </w:tcPr>
          <w:p w14:paraId="4469410B" w14:textId="14F11964" w:rsidR="00C5414C" w:rsidRDefault="00743067" w:rsidP="00743067">
            <w:pPr>
              <w:rPr>
                <w:color w:val="000000"/>
              </w:rPr>
            </w:pPr>
            <w:r>
              <w:rPr>
                <w:color w:val="000000"/>
              </w:rPr>
              <w:t>D</w:t>
            </w:r>
            <w:r w:rsidR="008B5748" w:rsidRPr="008676E2">
              <w:rPr>
                <w:color w:val="000000"/>
              </w:rPr>
              <w:t xml:space="preserve">etermine if the </w:t>
            </w:r>
            <w:r>
              <w:rPr>
                <w:color w:val="000000"/>
              </w:rPr>
              <w:t>D</w:t>
            </w:r>
            <w:r w:rsidR="008B5748" w:rsidRPr="008676E2">
              <w:rPr>
                <w:color w:val="000000"/>
              </w:rPr>
              <w:t>epartme</w:t>
            </w:r>
            <w:r>
              <w:rPr>
                <w:color w:val="000000"/>
              </w:rPr>
              <w:t>nt can share number of current legal cases active with ISA</w:t>
            </w:r>
          </w:p>
          <w:p w14:paraId="2C295428" w14:textId="321D9C33" w:rsidR="00743067" w:rsidRDefault="00743067" w:rsidP="00743067"/>
        </w:tc>
        <w:tc>
          <w:tcPr>
            <w:tcW w:w="1566" w:type="dxa"/>
          </w:tcPr>
          <w:p w14:paraId="488E497D" w14:textId="49130E80" w:rsidR="00C5414C" w:rsidRDefault="008B5748" w:rsidP="00110E3F">
            <w:r>
              <w:t>DISER</w:t>
            </w:r>
          </w:p>
        </w:tc>
        <w:tc>
          <w:tcPr>
            <w:tcW w:w="2063" w:type="dxa"/>
          </w:tcPr>
          <w:p w14:paraId="15A61AC7" w14:textId="2774E9E9" w:rsidR="00C5414C" w:rsidRDefault="00EA0791" w:rsidP="00110E3F">
            <w:r>
              <w:t>Answer by Nov 2020 Roundtable</w:t>
            </w:r>
          </w:p>
        </w:tc>
      </w:tr>
      <w:tr w:rsidR="00C5414C" w14:paraId="7FC864AC" w14:textId="77777777" w:rsidTr="007B65D8">
        <w:trPr>
          <w:trHeight w:val="481"/>
        </w:trPr>
        <w:tc>
          <w:tcPr>
            <w:tcW w:w="5835" w:type="dxa"/>
          </w:tcPr>
          <w:p w14:paraId="26A2788E" w14:textId="77777777" w:rsidR="00EF3F4F" w:rsidRDefault="00EF3F4F" w:rsidP="00EF3F4F">
            <w:pPr>
              <w:rPr>
                <w:color w:val="000000"/>
              </w:rPr>
            </w:pPr>
            <w:r w:rsidRPr="00EF3F4F">
              <w:rPr>
                <w:color w:val="000000"/>
              </w:rPr>
              <w:t>The department to confirm w</w:t>
            </w:r>
            <w:r>
              <w:rPr>
                <w:color w:val="000000"/>
              </w:rPr>
              <w:t xml:space="preserve">hether </w:t>
            </w:r>
            <w:r w:rsidRPr="00EF3F4F">
              <w:rPr>
                <w:color w:val="000000"/>
              </w:rPr>
              <w:t xml:space="preserve">the new registration and advance/overseas finding applications that will be made available by the online portal will have </w:t>
            </w:r>
            <w:r>
              <w:rPr>
                <w:color w:val="000000"/>
              </w:rPr>
              <w:t xml:space="preserve">version </w:t>
            </w:r>
            <w:r w:rsidRPr="00EF3F4F">
              <w:rPr>
                <w:color w:val="000000"/>
              </w:rPr>
              <w:t xml:space="preserve">control </w:t>
            </w:r>
            <w:r>
              <w:rPr>
                <w:color w:val="000000"/>
              </w:rPr>
              <w:t xml:space="preserve">tracking </w:t>
            </w:r>
            <w:r w:rsidRPr="00EF3F4F">
              <w:rPr>
                <w:color w:val="000000"/>
              </w:rPr>
              <w:t xml:space="preserve">to enable users to monitor edits being made by contributors to the form. </w:t>
            </w:r>
          </w:p>
          <w:p w14:paraId="0646B0B0" w14:textId="57D15C1F" w:rsidR="00BB7812" w:rsidRDefault="00BB7812" w:rsidP="00BB7812"/>
        </w:tc>
        <w:tc>
          <w:tcPr>
            <w:tcW w:w="1566" w:type="dxa"/>
          </w:tcPr>
          <w:p w14:paraId="60F4FF97" w14:textId="624F22E3" w:rsidR="00C5414C" w:rsidRDefault="008B5748" w:rsidP="00110E3F">
            <w:r>
              <w:t>DISER</w:t>
            </w:r>
          </w:p>
        </w:tc>
        <w:tc>
          <w:tcPr>
            <w:tcW w:w="2063" w:type="dxa"/>
          </w:tcPr>
          <w:p w14:paraId="31FE31C7" w14:textId="766396B7" w:rsidR="00C5414C" w:rsidRDefault="00BB7812" w:rsidP="00BB7812">
            <w:r>
              <w:t>Nov</w:t>
            </w:r>
            <w:r w:rsidR="008B5748">
              <w:t xml:space="preserve"> 2020</w:t>
            </w:r>
          </w:p>
        </w:tc>
      </w:tr>
    </w:tbl>
    <w:p w14:paraId="546F079F" w14:textId="77777777" w:rsidR="0017496A" w:rsidRDefault="0017496A" w:rsidP="0017496A">
      <w:pPr>
        <w:tabs>
          <w:tab w:val="left" w:pos="2925"/>
        </w:tabs>
        <w:rPr>
          <w:sz w:val="6"/>
        </w:rPr>
      </w:pPr>
    </w:p>
    <w:p w14:paraId="4F56CF73" w14:textId="48DCDFAE" w:rsidR="00635C0C" w:rsidRPr="00583EA9" w:rsidRDefault="0017496A" w:rsidP="00750046">
      <w:pPr>
        <w:tabs>
          <w:tab w:val="left" w:pos="2925"/>
        </w:tabs>
        <w:jc w:val="center"/>
      </w:pPr>
      <w:r w:rsidRPr="00DE2C08">
        <w:rPr>
          <w:i/>
        </w:rPr>
        <w:t xml:space="preserve">--- End of </w:t>
      </w:r>
      <w:r w:rsidR="00966061">
        <w:rPr>
          <w:i/>
        </w:rPr>
        <w:t>summary</w:t>
      </w:r>
      <w:r w:rsidRPr="00DE2C08">
        <w:rPr>
          <w:i/>
        </w:rPr>
        <w:t xml:space="preserve">--- </w:t>
      </w:r>
    </w:p>
    <w:sectPr w:rsidR="00635C0C" w:rsidRPr="00583EA9" w:rsidSect="00EE50B0">
      <w:headerReference w:type="default" r:id="rId15"/>
      <w:footerReference w:type="default" r:id="rId16"/>
      <w:pgSz w:w="11906" w:h="16838"/>
      <w:pgMar w:top="993"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9AC1" w14:textId="77777777" w:rsidR="00EA329B" w:rsidRDefault="00EA329B" w:rsidP="00C6271E">
      <w:pPr>
        <w:spacing w:after="0" w:line="240" w:lineRule="auto"/>
      </w:pPr>
      <w:r>
        <w:separator/>
      </w:r>
    </w:p>
  </w:endnote>
  <w:endnote w:type="continuationSeparator" w:id="0">
    <w:p w14:paraId="51C7028F" w14:textId="77777777" w:rsidR="00EA329B" w:rsidRDefault="00EA329B" w:rsidP="00C6271E">
      <w:pPr>
        <w:spacing w:after="0" w:line="240" w:lineRule="auto"/>
      </w:pPr>
      <w:r>
        <w:continuationSeparator/>
      </w:r>
    </w:p>
  </w:endnote>
  <w:endnote w:type="continuationNotice" w:id="1">
    <w:p w14:paraId="2C7638F8" w14:textId="77777777" w:rsidR="00EA329B" w:rsidRDefault="00EA3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231111"/>
      <w:docPartObj>
        <w:docPartGallery w:val="Page Numbers (Bottom of Page)"/>
        <w:docPartUnique/>
      </w:docPartObj>
    </w:sdtPr>
    <w:sdtEndPr>
      <w:rPr>
        <w:noProof/>
      </w:rPr>
    </w:sdtEndPr>
    <w:sdtContent>
      <w:p w14:paraId="2BB233A0" w14:textId="6D9D6655" w:rsidR="001D735D" w:rsidRDefault="001D735D" w:rsidP="00183FBA">
        <w:pPr>
          <w:pStyle w:val="Footer"/>
          <w:jc w:val="center"/>
        </w:pPr>
        <w:r>
          <w:fldChar w:fldCharType="begin"/>
        </w:r>
        <w:r>
          <w:instrText xml:space="preserve"> PAGE   \* MERGEFORMAT </w:instrText>
        </w:r>
        <w:r>
          <w:fldChar w:fldCharType="separate"/>
        </w:r>
        <w:r w:rsidR="001E629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BF25" w14:textId="77777777" w:rsidR="00EA329B" w:rsidRDefault="00EA329B" w:rsidP="00C6271E">
      <w:pPr>
        <w:spacing w:after="0" w:line="240" w:lineRule="auto"/>
      </w:pPr>
      <w:r>
        <w:separator/>
      </w:r>
    </w:p>
  </w:footnote>
  <w:footnote w:type="continuationSeparator" w:id="0">
    <w:p w14:paraId="5B9C502F" w14:textId="77777777" w:rsidR="00EA329B" w:rsidRDefault="00EA329B" w:rsidP="00C6271E">
      <w:pPr>
        <w:spacing w:after="0" w:line="240" w:lineRule="auto"/>
      </w:pPr>
      <w:r>
        <w:continuationSeparator/>
      </w:r>
    </w:p>
  </w:footnote>
  <w:footnote w:type="continuationNotice" w:id="1">
    <w:p w14:paraId="6ED7EF74" w14:textId="77777777" w:rsidR="00EA329B" w:rsidRDefault="00EA32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1E40" w14:textId="0235113E" w:rsidR="001D735D" w:rsidRDefault="001D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B22"/>
    <w:multiLevelType w:val="hybridMultilevel"/>
    <w:tmpl w:val="F790E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04744"/>
    <w:multiLevelType w:val="hybridMultilevel"/>
    <w:tmpl w:val="7F683A6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52856"/>
    <w:multiLevelType w:val="hybridMultilevel"/>
    <w:tmpl w:val="289E9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29475E"/>
    <w:multiLevelType w:val="hybridMultilevel"/>
    <w:tmpl w:val="440E3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C4A87"/>
    <w:multiLevelType w:val="hybridMultilevel"/>
    <w:tmpl w:val="AA10C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73F3A"/>
    <w:multiLevelType w:val="hybridMultilevel"/>
    <w:tmpl w:val="95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F5CAB"/>
    <w:multiLevelType w:val="hybridMultilevel"/>
    <w:tmpl w:val="2B9ED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563BA"/>
    <w:multiLevelType w:val="hybridMultilevel"/>
    <w:tmpl w:val="4768D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8518C"/>
    <w:multiLevelType w:val="hybridMultilevel"/>
    <w:tmpl w:val="7382B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31823"/>
    <w:multiLevelType w:val="hybridMultilevel"/>
    <w:tmpl w:val="771AA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A20E1"/>
    <w:multiLevelType w:val="hybridMultilevel"/>
    <w:tmpl w:val="40FC5D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5A3AD8"/>
    <w:multiLevelType w:val="hybridMultilevel"/>
    <w:tmpl w:val="407C2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4652B"/>
    <w:multiLevelType w:val="hybridMultilevel"/>
    <w:tmpl w:val="4A24B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506EA"/>
    <w:multiLevelType w:val="hybridMultilevel"/>
    <w:tmpl w:val="E89E7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DD30FA"/>
    <w:multiLevelType w:val="hybridMultilevel"/>
    <w:tmpl w:val="3ACAD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A7AEE"/>
    <w:multiLevelType w:val="hybridMultilevel"/>
    <w:tmpl w:val="8B4E9BEC"/>
    <w:lvl w:ilvl="0" w:tplc="1480D128">
      <w:start w:val="1"/>
      <w:numFmt w:val="bullet"/>
      <w:lvlText w:val=""/>
      <w:lvlJc w:val="left"/>
      <w:pPr>
        <w:ind w:left="720" w:hanging="360"/>
      </w:pPr>
      <w:rPr>
        <w:rFonts w:ascii="Symbol" w:hAnsi="Symbol" w:hint="default"/>
        <w:color w:val="auto"/>
        <w:sz w:val="28"/>
        <w:szCs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A8A08C2"/>
    <w:multiLevelType w:val="hybridMultilevel"/>
    <w:tmpl w:val="388A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C1660"/>
    <w:multiLevelType w:val="hybridMultilevel"/>
    <w:tmpl w:val="1CD45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E912C6"/>
    <w:multiLevelType w:val="hybridMultilevel"/>
    <w:tmpl w:val="E40A0384"/>
    <w:lvl w:ilvl="0" w:tplc="CD92D238">
      <w:start w:val="1"/>
      <w:numFmt w:val="bullet"/>
      <w:lvlText w:val=""/>
      <w:lvlJc w:val="left"/>
      <w:pPr>
        <w:ind w:left="720" w:hanging="360"/>
      </w:pPr>
      <w:rPr>
        <w:rFonts w:ascii="Symbol" w:hAnsi="Symbol" w:hint="default"/>
      </w:rPr>
    </w:lvl>
    <w:lvl w:ilvl="1" w:tplc="346ECD4E" w:tentative="1">
      <w:start w:val="1"/>
      <w:numFmt w:val="bullet"/>
      <w:lvlText w:val="o"/>
      <w:lvlJc w:val="left"/>
      <w:pPr>
        <w:ind w:left="1440" w:hanging="360"/>
      </w:pPr>
      <w:rPr>
        <w:rFonts w:ascii="Courier New" w:hAnsi="Courier New" w:cs="Courier New" w:hint="default"/>
      </w:rPr>
    </w:lvl>
    <w:lvl w:ilvl="2" w:tplc="B6208186" w:tentative="1">
      <w:start w:val="1"/>
      <w:numFmt w:val="bullet"/>
      <w:lvlText w:val=""/>
      <w:lvlJc w:val="left"/>
      <w:pPr>
        <w:ind w:left="2160" w:hanging="360"/>
      </w:pPr>
      <w:rPr>
        <w:rFonts w:ascii="Wingdings" w:hAnsi="Wingdings" w:hint="default"/>
      </w:rPr>
    </w:lvl>
    <w:lvl w:ilvl="3" w:tplc="75F0E58A" w:tentative="1">
      <w:start w:val="1"/>
      <w:numFmt w:val="bullet"/>
      <w:lvlText w:val=""/>
      <w:lvlJc w:val="left"/>
      <w:pPr>
        <w:ind w:left="2880" w:hanging="360"/>
      </w:pPr>
      <w:rPr>
        <w:rFonts w:ascii="Symbol" w:hAnsi="Symbol" w:hint="default"/>
      </w:rPr>
    </w:lvl>
    <w:lvl w:ilvl="4" w:tplc="89482FC4" w:tentative="1">
      <w:start w:val="1"/>
      <w:numFmt w:val="bullet"/>
      <w:lvlText w:val="o"/>
      <w:lvlJc w:val="left"/>
      <w:pPr>
        <w:ind w:left="3600" w:hanging="360"/>
      </w:pPr>
      <w:rPr>
        <w:rFonts w:ascii="Courier New" w:hAnsi="Courier New" w:cs="Courier New" w:hint="default"/>
      </w:rPr>
    </w:lvl>
    <w:lvl w:ilvl="5" w:tplc="F7867F7E" w:tentative="1">
      <w:start w:val="1"/>
      <w:numFmt w:val="bullet"/>
      <w:lvlText w:val=""/>
      <w:lvlJc w:val="left"/>
      <w:pPr>
        <w:ind w:left="4320" w:hanging="360"/>
      </w:pPr>
      <w:rPr>
        <w:rFonts w:ascii="Wingdings" w:hAnsi="Wingdings" w:hint="default"/>
      </w:rPr>
    </w:lvl>
    <w:lvl w:ilvl="6" w:tplc="93A8308A" w:tentative="1">
      <w:start w:val="1"/>
      <w:numFmt w:val="bullet"/>
      <w:lvlText w:val=""/>
      <w:lvlJc w:val="left"/>
      <w:pPr>
        <w:ind w:left="5040" w:hanging="360"/>
      </w:pPr>
      <w:rPr>
        <w:rFonts w:ascii="Symbol" w:hAnsi="Symbol" w:hint="default"/>
      </w:rPr>
    </w:lvl>
    <w:lvl w:ilvl="7" w:tplc="8222F0AE" w:tentative="1">
      <w:start w:val="1"/>
      <w:numFmt w:val="bullet"/>
      <w:lvlText w:val="o"/>
      <w:lvlJc w:val="left"/>
      <w:pPr>
        <w:ind w:left="5760" w:hanging="360"/>
      </w:pPr>
      <w:rPr>
        <w:rFonts w:ascii="Courier New" w:hAnsi="Courier New" w:cs="Courier New" w:hint="default"/>
      </w:rPr>
    </w:lvl>
    <w:lvl w:ilvl="8" w:tplc="DCB4A19E" w:tentative="1">
      <w:start w:val="1"/>
      <w:numFmt w:val="bullet"/>
      <w:lvlText w:val=""/>
      <w:lvlJc w:val="left"/>
      <w:pPr>
        <w:ind w:left="6480" w:hanging="360"/>
      </w:pPr>
      <w:rPr>
        <w:rFonts w:ascii="Wingdings" w:hAnsi="Wingdings" w:hint="default"/>
      </w:rPr>
    </w:lvl>
  </w:abstractNum>
  <w:abstractNum w:abstractNumId="19" w15:restartNumberingAfterBreak="0">
    <w:nsid w:val="3CFF41B1"/>
    <w:multiLevelType w:val="hybridMultilevel"/>
    <w:tmpl w:val="B67C2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244534"/>
    <w:multiLevelType w:val="hybridMultilevel"/>
    <w:tmpl w:val="F85C8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B30825"/>
    <w:multiLevelType w:val="multilevel"/>
    <w:tmpl w:val="48AC454E"/>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454" w:hanging="114"/>
      </w:pPr>
      <w:rPr>
        <w:rFonts w:ascii="Arial" w:hAnsi="Arial" w:cs="Arial"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00ECF"/>
    <w:multiLevelType w:val="hybridMultilevel"/>
    <w:tmpl w:val="52722F6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DDB1327"/>
    <w:multiLevelType w:val="hybridMultilevel"/>
    <w:tmpl w:val="C2780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51FA3"/>
    <w:multiLevelType w:val="hybridMultilevel"/>
    <w:tmpl w:val="D3F87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4E7318"/>
    <w:multiLevelType w:val="hybridMultilevel"/>
    <w:tmpl w:val="1F486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4D25B3"/>
    <w:multiLevelType w:val="hybridMultilevel"/>
    <w:tmpl w:val="DD604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025EB"/>
    <w:multiLevelType w:val="hybridMultilevel"/>
    <w:tmpl w:val="D31A261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003EC9"/>
    <w:multiLevelType w:val="hybridMultilevel"/>
    <w:tmpl w:val="D0A02ECC"/>
    <w:lvl w:ilvl="0" w:tplc="0C090001">
      <w:start w:val="1"/>
      <w:numFmt w:val="bullet"/>
      <w:lvlText w:val=""/>
      <w:lvlJc w:val="left"/>
      <w:pPr>
        <w:ind w:left="870" w:hanging="51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8E1C55"/>
    <w:multiLevelType w:val="multilevel"/>
    <w:tmpl w:val="48AC454E"/>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454" w:hanging="114"/>
      </w:pPr>
      <w:rPr>
        <w:rFonts w:ascii="Arial" w:hAnsi="Arial" w:cs="Arial"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964698"/>
    <w:multiLevelType w:val="hybridMultilevel"/>
    <w:tmpl w:val="DFD0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4D7A56"/>
    <w:multiLevelType w:val="hybridMultilevel"/>
    <w:tmpl w:val="33C0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E24804"/>
    <w:multiLevelType w:val="hybridMultilevel"/>
    <w:tmpl w:val="F0AA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9147CA"/>
    <w:multiLevelType w:val="hybridMultilevel"/>
    <w:tmpl w:val="928ED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DEF6C0E"/>
    <w:multiLevelType w:val="hybridMultilevel"/>
    <w:tmpl w:val="148A7512"/>
    <w:lvl w:ilvl="0" w:tplc="8050E810">
      <w:start w:val="1"/>
      <w:numFmt w:val="bullet"/>
      <w:lvlText w:val=""/>
      <w:lvlJc w:val="left"/>
      <w:pPr>
        <w:ind w:left="720" w:hanging="360"/>
      </w:pPr>
      <w:rPr>
        <w:rFonts w:ascii="Symbol" w:hAnsi="Symbol" w:hint="default"/>
      </w:rPr>
    </w:lvl>
    <w:lvl w:ilvl="1" w:tplc="2A265586" w:tentative="1">
      <w:start w:val="1"/>
      <w:numFmt w:val="bullet"/>
      <w:lvlText w:val="o"/>
      <w:lvlJc w:val="left"/>
      <w:pPr>
        <w:ind w:left="1440" w:hanging="360"/>
      </w:pPr>
      <w:rPr>
        <w:rFonts w:ascii="Courier New" w:hAnsi="Courier New" w:cs="Courier New" w:hint="default"/>
      </w:rPr>
    </w:lvl>
    <w:lvl w:ilvl="2" w:tplc="69D21EFC" w:tentative="1">
      <w:start w:val="1"/>
      <w:numFmt w:val="bullet"/>
      <w:lvlText w:val=""/>
      <w:lvlJc w:val="left"/>
      <w:pPr>
        <w:ind w:left="2160" w:hanging="360"/>
      </w:pPr>
      <w:rPr>
        <w:rFonts w:ascii="Wingdings" w:hAnsi="Wingdings" w:hint="default"/>
      </w:rPr>
    </w:lvl>
    <w:lvl w:ilvl="3" w:tplc="FEFA86C6" w:tentative="1">
      <w:start w:val="1"/>
      <w:numFmt w:val="bullet"/>
      <w:lvlText w:val=""/>
      <w:lvlJc w:val="left"/>
      <w:pPr>
        <w:ind w:left="2880" w:hanging="360"/>
      </w:pPr>
      <w:rPr>
        <w:rFonts w:ascii="Symbol" w:hAnsi="Symbol" w:hint="default"/>
      </w:rPr>
    </w:lvl>
    <w:lvl w:ilvl="4" w:tplc="FD02C7E6" w:tentative="1">
      <w:start w:val="1"/>
      <w:numFmt w:val="bullet"/>
      <w:lvlText w:val="o"/>
      <w:lvlJc w:val="left"/>
      <w:pPr>
        <w:ind w:left="3600" w:hanging="360"/>
      </w:pPr>
      <w:rPr>
        <w:rFonts w:ascii="Courier New" w:hAnsi="Courier New" w:cs="Courier New" w:hint="default"/>
      </w:rPr>
    </w:lvl>
    <w:lvl w:ilvl="5" w:tplc="75EE8CF2" w:tentative="1">
      <w:start w:val="1"/>
      <w:numFmt w:val="bullet"/>
      <w:lvlText w:val=""/>
      <w:lvlJc w:val="left"/>
      <w:pPr>
        <w:ind w:left="4320" w:hanging="360"/>
      </w:pPr>
      <w:rPr>
        <w:rFonts w:ascii="Wingdings" w:hAnsi="Wingdings" w:hint="default"/>
      </w:rPr>
    </w:lvl>
    <w:lvl w:ilvl="6" w:tplc="938A906A" w:tentative="1">
      <w:start w:val="1"/>
      <w:numFmt w:val="bullet"/>
      <w:lvlText w:val=""/>
      <w:lvlJc w:val="left"/>
      <w:pPr>
        <w:ind w:left="5040" w:hanging="360"/>
      </w:pPr>
      <w:rPr>
        <w:rFonts w:ascii="Symbol" w:hAnsi="Symbol" w:hint="default"/>
      </w:rPr>
    </w:lvl>
    <w:lvl w:ilvl="7" w:tplc="BC7EA9DC" w:tentative="1">
      <w:start w:val="1"/>
      <w:numFmt w:val="bullet"/>
      <w:lvlText w:val="o"/>
      <w:lvlJc w:val="left"/>
      <w:pPr>
        <w:ind w:left="5760" w:hanging="360"/>
      </w:pPr>
      <w:rPr>
        <w:rFonts w:ascii="Courier New" w:hAnsi="Courier New" w:cs="Courier New" w:hint="default"/>
      </w:rPr>
    </w:lvl>
    <w:lvl w:ilvl="8" w:tplc="E1CA8530" w:tentative="1">
      <w:start w:val="1"/>
      <w:numFmt w:val="bullet"/>
      <w:lvlText w:val=""/>
      <w:lvlJc w:val="left"/>
      <w:pPr>
        <w:ind w:left="6480" w:hanging="360"/>
      </w:pPr>
      <w:rPr>
        <w:rFonts w:ascii="Wingdings" w:hAnsi="Wingdings" w:hint="default"/>
      </w:rPr>
    </w:lvl>
  </w:abstractNum>
  <w:abstractNum w:abstractNumId="35" w15:restartNumberingAfterBreak="0">
    <w:nsid w:val="600D169E"/>
    <w:multiLevelType w:val="hybridMultilevel"/>
    <w:tmpl w:val="ACACF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AE2E8F"/>
    <w:multiLevelType w:val="hybridMultilevel"/>
    <w:tmpl w:val="A0D23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1E7E6A"/>
    <w:multiLevelType w:val="hybridMultilevel"/>
    <w:tmpl w:val="0DA6F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871E8F"/>
    <w:multiLevelType w:val="hybridMultilevel"/>
    <w:tmpl w:val="F384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8479BC"/>
    <w:multiLevelType w:val="hybridMultilevel"/>
    <w:tmpl w:val="F1F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750632"/>
    <w:multiLevelType w:val="hybridMultilevel"/>
    <w:tmpl w:val="329AAFA6"/>
    <w:lvl w:ilvl="0" w:tplc="9304742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C827BCC"/>
    <w:multiLevelType w:val="hybridMultilevel"/>
    <w:tmpl w:val="6A9C3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546EF2"/>
    <w:multiLevelType w:val="hybridMultilevel"/>
    <w:tmpl w:val="300CC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AB553B"/>
    <w:multiLevelType w:val="hybridMultilevel"/>
    <w:tmpl w:val="14542C9E"/>
    <w:lvl w:ilvl="0" w:tplc="2AC8987E">
      <w:start w:val="1"/>
      <w:numFmt w:val="bullet"/>
      <w:lvlText w:val=""/>
      <w:lvlJc w:val="left"/>
      <w:pPr>
        <w:ind w:left="720" w:hanging="360"/>
      </w:pPr>
      <w:rPr>
        <w:rFonts w:ascii="Symbol" w:hAnsi="Symbol" w:hint="default"/>
      </w:rPr>
    </w:lvl>
    <w:lvl w:ilvl="1" w:tplc="A90CD648" w:tentative="1">
      <w:start w:val="1"/>
      <w:numFmt w:val="bullet"/>
      <w:lvlText w:val="o"/>
      <w:lvlJc w:val="left"/>
      <w:pPr>
        <w:ind w:left="1440" w:hanging="360"/>
      </w:pPr>
      <w:rPr>
        <w:rFonts w:ascii="Courier New" w:hAnsi="Courier New" w:cs="Courier New" w:hint="default"/>
      </w:rPr>
    </w:lvl>
    <w:lvl w:ilvl="2" w:tplc="3020AFB0" w:tentative="1">
      <w:start w:val="1"/>
      <w:numFmt w:val="bullet"/>
      <w:lvlText w:val=""/>
      <w:lvlJc w:val="left"/>
      <w:pPr>
        <w:ind w:left="2160" w:hanging="360"/>
      </w:pPr>
      <w:rPr>
        <w:rFonts w:ascii="Wingdings" w:hAnsi="Wingdings" w:hint="default"/>
      </w:rPr>
    </w:lvl>
    <w:lvl w:ilvl="3" w:tplc="9942E646" w:tentative="1">
      <w:start w:val="1"/>
      <w:numFmt w:val="bullet"/>
      <w:lvlText w:val=""/>
      <w:lvlJc w:val="left"/>
      <w:pPr>
        <w:ind w:left="2880" w:hanging="360"/>
      </w:pPr>
      <w:rPr>
        <w:rFonts w:ascii="Symbol" w:hAnsi="Symbol" w:hint="default"/>
      </w:rPr>
    </w:lvl>
    <w:lvl w:ilvl="4" w:tplc="A536AEFE" w:tentative="1">
      <w:start w:val="1"/>
      <w:numFmt w:val="bullet"/>
      <w:lvlText w:val="o"/>
      <w:lvlJc w:val="left"/>
      <w:pPr>
        <w:ind w:left="3600" w:hanging="360"/>
      </w:pPr>
      <w:rPr>
        <w:rFonts w:ascii="Courier New" w:hAnsi="Courier New" w:cs="Courier New" w:hint="default"/>
      </w:rPr>
    </w:lvl>
    <w:lvl w:ilvl="5" w:tplc="C82859A0" w:tentative="1">
      <w:start w:val="1"/>
      <w:numFmt w:val="bullet"/>
      <w:lvlText w:val=""/>
      <w:lvlJc w:val="left"/>
      <w:pPr>
        <w:ind w:left="4320" w:hanging="360"/>
      </w:pPr>
      <w:rPr>
        <w:rFonts w:ascii="Wingdings" w:hAnsi="Wingdings" w:hint="default"/>
      </w:rPr>
    </w:lvl>
    <w:lvl w:ilvl="6" w:tplc="E6C46DAE" w:tentative="1">
      <w:start w:val="1"/>
      <w:numFmt w:val="bullet"/>
      <w:lvlText w:val=""/>
      <w:lvlJc w:val="left"/>
      <w:pPr>
        <w:ind w:left="5040" w:hanging="360"/>
      </w:pPr>
      <w:rPr>
        <w:rFonts w:ascii="Symbol" w:hAnsi="Symbol" w:hint="default"/>
      </w:rPr>
    </w:lvl>
    <w:lvl w:ilvl="7" w:tplc="43381490" w:tentative="1">
      <w:start w:val="1"/>
      <w:numFmt w:val="bullet"/>
      <w:lvlText w:val="o"/>
      <w:lvlJc w:val="left"/>
      <w:pPr>
        <w:ind w:left="5760" w:hanging="360"/>
      </w:pPr>
      <w:rPr>
        <w:rFonts w:ascii="Courier New" w:hAnsi="Courier New" w:cs="Courier New" w:hint="default"/>
      </w:rPr>
    </w:lvl>
    <w:lvl w:ilvl="8" w:tplc="3AAC531C" w:tentative="1">
      <w:start w:val="1"/>
      <w:numFmt w:val="bullet"/>
      <w:lvlText w:val=""/>
      <w:lvlJc w:val="left"/>
      <w:pPr>
        <w:ind w:left="6480" w:hanging="360"/>
      </w:pPr>
      <w:rPr>
        <w:rFonts w:ascii="Wingdings" w:hAnsi="Wingdings" w:hint="default"/>
      </w:rPr>
    </w:lvl>
  </w:abstractNum>
  <w:abstractNum w:abstractNumId="44" w15:restartNumberingAfterBreak="0">
    <w:nsid w:val="74E66AEF"/>
    <w:multiLevelType w:val="hybridMultilevel"/>
    <w:tmpl w:val="63202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F40024"/>
    <w:multiLevelType w:val="hybridMultilevel"/>
    <w:tmpl w:val="2C26F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5473A3"/>
    <w:multiLevelType w:val="hybridMultilevel"/>
    <w:tmpl w:val="06B0C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223B9C"/>
    <w:multiLevelType w:val="hybridMultilevel"/>
    <w:tmpl w:val="7412710C"/>
    <w:lvl w:ilvl="0" w:tplc="5A365AF8">
      <w:start w:val="1"/>
      <w:numFmt w:val="decimal"/>
      <w:pStyle w:val="Heading2"/>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766D1548"/>
    <w:multiLevelType w:val="hybridMultilevel"/>
    <w:tmpl w:val="277E8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2E6654"/>
    <w:multiLevelType w:val="hybridMultilevel"/>
    <w:tmpl w:val="62DE7896"/>
    <w:lvl w:ilvl="0" w:tplc="0C090001">
      <w:start w:val="1"/>
      <w:numFmt w:val="bullet"/>
      <w:lvlText w:val=""/>
      <w:lvlJc w:val="left"/>
      <w:pPr>
        <w:ind w:left="720" w:hanging="360"/>
      </w:pPr>
      <w:rPr>
        <w:rFonts w:ascii="Symbol" w:hAnsi="Symbol" w:hint="default"/>
      </w:rPr>
    </w:lvl>
    <w:lvl w:ilvl="1" w:tplc="B512040C">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33"/>
  </w:num>
  <w:num w:numId="4">
    <w:abstractNumId w:val="25"/>
  </w:num>
  <w:num w:numId="5">
    <w:abstractNumId w:val="5"/>
  </w:num>
  <w:num w:numId="6">
    <w:abstractNumId w:val="14"/>
  </w:num>
  <w:num w:numId="7">
    <w:abstractNumId w:val="12"/>
  </w:num>
  <w:num w:numId="8">
    <w:abstractNumId w:val="41"/>
  </w:num>
  <w:num w:numId="9">
    <w:abstractNumId w:val="3"/>
  </w:num>
  <w:num w:numId="10">
    <w:abstractNumId w:val="8"/>
  </w:num>
  <w:num w:numId="11">
    <w:abstractNumId w:val="23"/>
  </w:num>
  <w:num w:numId="12">
    <w:abstractNumId w:val="1"/>
  </w:num>
  <w:num w:numId="13">
    <w:abstractNumId w:val="34"/>
  </w:num>
  <w:num w:numId="14">
    <w:abstractNumId w:val="43"/>
  </w:num>
  <w:num w:numId="15">
    <w:abstractNumId w:val="18"/>
  </w:num>
  <w:num w:numId="16">
    <w:abstractNumId w:val="42"/>
  </w:num>
  <w:num w:numId="17">
    <w:abstractNumId w:val="38"/>
  </w:num>
  <w:num w:numId="18">
    <w:abstractNumId w:val="20"/>
  </w:num>
  <w:num w:numId="19">
    <w:abstractNumId w:val="10"/>
  </w:num>
  <w:num w:numId="20">
    <w:abstractNumId w:val="11"/>
  </w:num>
  <w:num w:numId="21">
    <w:abstractNumId w:val="28"/>
  </w:num>
  <w:num w:numId="22">
    <w:abstractNumId w:val="16"/>
  </w:num>
  <w:num w:numId="23">
    <w:abstractNumId w:val="19"/>
  </w:num>
  <w:num w:numId="24">
    <w:abstractNumId w:val="49"/>
  </w:num>
  <w:num w:numId="25">
    <w:abstractNumId w:val="17"/>
  </w:num>
  <w:num w:numId="26">
    <w:abstractNumId w:val="7"/>
  </w:num>
  <w:num w:numId="27">
    <w:abstractNumId w:val="26"/>
  </w:num>
  <w:num w:numId="28">
    <w:abstractNumId w:val="6"/>
  </w:num>
  <w:num w:numId="29">
    <w:abstractNumId w:val="24"/>
  </w:num>
  <w:num w:numId="30">
    <w:abstractNumId w:val="32"/>
  </w:num>
  <w:num w:numId="31">
    <w:abstractNumId w:val="36"/>
  </w:num>
  <w:num w:numId="32">
    <w:abstractNumId w:val="39"/>
  </w:num>
  <w:num w:numId="33">
    <w:abstractNumId w:val="30"/>
  </w:num>
  <w:num w:numId="34">
    <w:abstractNumId w:val="31"/>
  </w:num>
  <w:num w:numId="35">
    <w:abstractNumId w:val="4"/>
  </w:num>
  <w:num w:numId="36">
    <w:abstractNumId w:val="44"/>
  </w:num>
  <w:num w:numId="37">
    <w:abstractNumId w:val="15"/>
  </w:num>
  <w:num w:numId="38">
    <w:abstractNumId w:val="15"/>
  </w:num>
  <w:num w:numId="39">
    <w:abstractNumId w:val="2"/>
  </w:num>
  <w:num w:numId="40">
    <w:abstractNumId w:val="35"/>
  </w:num>
  <w:num w:numId="41">
    <w:abstractNumId w:val="45"/>
  </w:num>
  <w:num w:numId="42">
    <w:abstractNumId w:val="48"/>
  </w:num>
  <w:num w:numId="43">
    <w:abstractNumId w:val="37"/>
  </w:num>
  <w:num w:numId="44">
    <w:abstractNumId w:val="9"/>
  </w:num>
  <w:num w:numId="45">
    <w:abstractNumId w:val="0"/>
  </w:num>
  <w:num w:numId="46">
    <w:abstractNumId w:val="46"/>
  </w:num>
  <w:num w:numId="47">
    <w:abstractNumId w:val="29"/>
  </w:num>
  <w:num w:numId="48">
    <w:abstractNumId w:val="13"/>
  </w:num>
  <w:num w:numId="49">
    <w:abstractNumId w:val="22"/>
  </w:num>
  <w:num w:numId="50">
    <w:abstractNumId w:val="27"/>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91"/>
    <w:rsid w:val="0001075E"/>
    <w:rsid w:val="000314DF"/>
    <w:rsid w:val="000353D4"/>
    <w:rsid w:val="00042A0E"/>
    <w:rsid w:val="000478C0"/>
    <w:rsid w:val="000478D5"/>
    <w:rsid w:val="00051E58"/>
    <w:rsid w:val="00061C39"/>
    <w:rsid w:val="00065F5B"/>
    <w:rsid w:val="00074B44"/>
    <w:rsid w:val="000808F5"/>
    <w:rsid w:val="00085F65"/>
    <w:rsid w:val="000964AC"/>
    <w:rsid w:val="000B18ED"/>
    <w:rsid w:val="000B3DE1"/>
    <w:rsid w:val="000D5D99"/>
    <w:rsid w:val="000E3338"/>
    <w:rsid w:val="000E35A1"/>
    <w:rsid w:val="000F0877"/>
    <w:rsid w:val="00110E3F"/>
    <w:rsid w:val="001119B3"/>
    <w:rsid w:val="00117A19"/>
    <w:rsid w:val="0012127B"/>
    <w:rsid w:val="001236F9"/>
    <w:rsid w:val="0013530E"/>
    <w:rsid w:val="00140347"/>
    <w:rsid w:val="0015133C"/>
    <w:rsid w:val="00155878"/>
    <w:rsid w:val="0015722D"/>
    <w:rsid w:val="001621E8"/>
    <w:rsid w:val="001708F9"/>
    <w:rsid w:val="0017496A"/>
    <w:rsid w:val="00183FBA"/>
    <w:rsid w:val="001947F6"/>
    <w:rsid w:val="001A509C"/>
    <w:rsid w:val="001A5CC3"/>
    <w:rsid w:val="001B3906"/>
    <w:rsid w:val="001B690F"/>
    <w:rsid w:val="001C5D2F"/>
    <w:rsid w:val="001D57D1"/>
    <w:rsid w:val="001D735D"/>
    <w:rsid w:val="001E47D8"/>
    <w:rsid w:val="001E61C8"/>
    <w:rsid w:val="001E6294"/>
    <w:rsid w:val="001E658F"/>
    <w:rsid w:val="001E6758"/>
    <w:rsid w:val="001F4105"/>
    <w:rsid w:val="001F4363"/>
    <w:rsid w:val="001F642D"/>
    <w:rsid w:val="00201DE7"/>
    <w:rsid w:val="0021246A"/>
    <w:rsid w:val="0021311E"/>
    <w:rsid w:val="00214BA3"/>
    <w:rsid w:val="002270D1"/>
    <w:rsid w:val="00237B93"/>
    <w:rsid w:val="00243BAF"/>
    <w:rsid w:val="0025062B"/>
    <w:rsid w:val="00252584"/>
    <w:rsid w:val="00261F63"/>
    <w:rsid w:val="002659D8"/>
    <w:rsid w:val="00265FB7"/>
    <w:rsid w:val="00270AB9"/>
    <w:rsid w:val="00272E74"/>
    <w:rsid w:val="0028097D"/>
    <w:rsid w:val="00284315"/>
    <w:rsid w:val="00286309"/>
    <w:rsid w:val="00287D43"/>
    <w:rsid w:val="0029169B"/>
    <w:rsid w:val="00294EE7"/>
    <w:rsid w:val="00297047"/>
    <w:rsid w:val="002A5003"/>
    <w:rsid w:val="002A5D22"/>
    <w:rsid w:val="002A6BEF"/>
    <w:rsid w:val="002B25AB"/>
    <w:rsid w:val="002B7A66"/>
    <w:rsid w:val="002D45D9"/>
    <w:rsid w:val="002E050E"/>
    <w:rsid w:val="002E077E"/>
    <w:rsid w:val="002E0D1D"/>
    <w:rsid w:val="002E28D8"/>
    <w:rsid w:val="002E3FB5"/>
    <w:rsid w:val="002E4AC3"/>
    <w:rsid w:val="002E59C5"/>
    <w:rsid w:val="002F159F"/>
    <w:rsid w:val="002F6BD8"/>
    <w:rsid w:val="002F7C13"/>
    <w:rsid w:val="00300A45"/>
    <w:rsid w:val="00302C26"/>
    <w:rsid w:val="003049F8"/>
    <w:rsid w:val="00306BBE"/>
    <w:rsid w:val="00310318"/>
    <w:rsid w:val="00312EE1"/>
    <w:rsid w:val="003247D9"/>
    <w:rsid w:val="00327622"/>
    <w:rsid w:val="00330AF2"/>
    <w:rsid w:val="0033103F"/>
    <w:rsid w:val="00332813"/>
    <w:rsid w:val="00334A2E"/>
    <w:rsid w:val="00336E1F"/>
    <w:rsid w:val="00340B53"/>
    <w:rsid w:val="00343130"/>
    <w:rsid w:val="00346477"/>
    <w:rsid w:val="00350D45"/>
    <w:rsid w:val="00357303"/>
    <w:rsid w:val="00362DAD"/>
    <w:rsid w:val="00364ED5"/>
    <w:rsid w:val="00370AEC"/>
    <w:rsid w:val="00377ACB"/>
    <w:rsid w:val="00382C00"/>
    <w:rsid w:val="00383DDA"/>
    <w:rsid w:val="00384057"/>
    <w:rsid w:val="00385F66"/>
    <w:rsid w:val="00392179"/>
    <w:rsid w:val="003A6CA8"/>
    <w:rsid w:val="003B0283"/>
    <w:rsid w:val="003D124B"/>
    <w:rsid w:val="003D59FD"/>
    <w:rsid w:val="003E7358"/>
    <w:rsid w:val="003F0958"/>
    <w:rsid w:val="004053A4"/>
    <w:rsid w:val="00406B68"/>
    <w:rsid w:val="00415B06"/>
    <w:rsid w:val="00433F90"/>
    <w:rsid w:val="00442667"/>
    <w:rsid w:val="004443B1"/>
    <w:rsid w:val="00461B99"/>
    <w:rsid w:val="00462707"/>
    <w:rsid w:val="00466887"/>
    <w:rsid w:val="00470329"/>
    <w:rsid w:val="00471303"/>
    <w:rsid w:val="00477A29"/>
    <w:rsid w:val="004813FA"/>
    <w:rsid w:val="00491002"/>
    <w:rsid w:val="00492901"/>
    <w:rsid w:val="00495A6E"/>
    <w:rsid w:val="004A0CFE"/>
    <w:rsid w:val="004A496E"/>
    <w:rsid w:val="004B7269"/>
    <w:rsid w:val="004C1A9A"/>
    <w:rsid w:val="004C2D97"/>
    <w:rsid w:val="004E4B82"/>
    <w:rsid w:val="004F5D28"/>
    <w:rsid w:val="004F65E7"/>
    <w:rsid w:val="004F74E2"/>
    <w:rsid w:val="0050794E"/>
    <w:rsid w:val="00507D14"/>
    <w:rsid w:val="00530544"/>
    <w:rsid w:val="00533E6C"/>
    <w:rsid w:val="005359D3"/>
    <w:rsid w:val="005400DD"/>
    <w:rsid w:val="00544F49"/>
    <w:rsid w:val="00555296"/>
    <w:rsid w:val="005660B5"/>
    <w:rsid w:val="0056748C"/>
    <w:rsid w:val="005737EB"/>
    <w:rsid w:val="00580277"/>
    <w:rsid w:val="00580906"/>
    <w:rsid w:val="00583EA9"/>
    <w:rsid w:val="00586B66"/>
    <w:rsid w:val="00594F60"/>
    <w:rsid w:val="00595B8A"/>
    <w:rsid w:val="0059701F"/>
    <w:rsid w:val="0059739B"/>
    <w:rsid w:val="005A7109"/>
    <w:rsid w:val="005B5659"/>
    <w:rsid w:val="005D043C"/>
    <w:rsid w:val="005D30F1"/>
    <w:rsid w:val="005E3500"/>
    <w:rsid w:val="005F32B6"/>
    <w:rsid w:val="005F651F"/>
    <w:rsid w:val="00602941"/>
    <w:rsid w:val="006124C2"/>
    <w:rsid w:val="0061599F"/>
    <w:rsid w:val="00617BD0"/>
    <w:rsid w:val="006202A7"/>
    <w:rsid w:val="00635C0C"/>
    <w:rsid w:val="00636AAC"/>
    <w:rsid w:val="00646E2E"/>
    <w:rsid w:val="006516C3"/>
    <w:rsid w:val="00655C2A"/>
    <w:rsid w:val="00661CBF"/>
    <w:rsid w:val="006653BB"/>
    <w:rsid w:val="006817A5"/>
    <w:rsid w:val="00684BC7"/>
    <w:rsid w:val="00685B09"/>
    <w:rsid w:val="00687A3E"/>
    <w:rsid w:val="00695A69"/>
    <w:rsid w:val="006A2D2F"/>
    <w:rsid w:val="006A6710"/>
    <w:rsid w:val="006A68CF"/>
    <w:rsid w:val="006A7607"/>
    <w:rsid w:val="006B2405"/>
    <w:rsid w:val="006B2E2A"/>
    <w:rsid w:val="006C2FB1"/>
    <w:rsid w:val="006D1DC8"/>
    <w:rsid w:val="006E2F1C"/>
    <w:rsid w:val="006E3CBA"/>
    <w:rsid w:val="006E5E6A"/>
    <w:rsid w:val="006E6E1F"/>
    <w:rsid w:val="006E7DD4"/>
    <w:rsid w:val="0070605A"/>
    <w:rsid w:val="00706A3D"/>
    <w:rsid w:val="00743067"/>
    <w:rsid w:val="00745C20"/>
    <w:rsid w:val="0074629C"/>
    <w:rsid w:val="00750046"/>
    <w:rsid w:val="0076412A"/>
    <w:rsid w:val="00774F8B"/>
    <w:rsid w:val="0077583E"/>
    <w:rsid w:val="00776100"/>
    <w:rsid w:val="0078008E"/>
    <w:rsid w:val="007A1A0B"/>
    <w:rsid w:val="007B22F2"/>
    <w:rsid w:val="007B55BB"/>
    <w:rsid w:val="007B65D8"/>
    <w:rsid w:val="007C1F1E"/>
    <w:rsid w:val="007C530C"/>
    <w:rsid w:val="007C651B"/>
    <w:rsid w:val="007D06EF"/>
    <w:rsid w:val="007D06F9"/>
    <w:rsid w:val="007D0E97"/>
    <w:rsid w:val="007D3909"/>
    <w:rsid w:val="007E37D2"/>
    <w:rsid w:val="007E5618"/>
    <w:rsid w:val="007E6386"/>
    <w:rsid w:val="007F0B93"/>
    <w:rsid w:val="007F19FD"/>
    <w:rsid w:val="007F39C8"/>
    <w:rsid w:val="007F58AA"/>
    <w:rsid w:val="00810CA4"/>
    <w:rsid w:val="008145E4"/>
    <w:rsid w:val="00815C74"/>
    <w:rsid w:val="008169F7"/>
    <w:rsid w:val="008311B3"/>
    <w:rsid w:val="008367C2"/>
    <w:rsid w:val="00845CB0"/>
    <w:rsid w:val="00853E70"/>
    <w:rsid w:val="008676E2"/>
    <w:rsid w:val="008734B5"/>
    <w:rsid w:val="00880D3C"/>
    <w:rsid w:val="008853E6"/>
    <w:rsid w:val="008946A2"/>
    <w:rsid w:val="008A11C2"/>
    <w:rsid w:val="008A55F8"/>
    <w:rsid w:val="008B0FBB"/>
    <w:rsid w:val="008B5748"/>
    <w:rsid w:val="008B72D1"/>
    <w:rsid w:val="008C23F5"/>
    <w:rsid w:val="008C3836"/>
    <w:rsid w:val="008D39C5"/>
    <w:rsid w:val="008D62E1"/>
    <w:rsid w:val="008E2037"/>
    <w:rsid w:val="008E20A4"/>
    <w:rsid w:val="008E49A5"/>
    <w:rsid w:val="008E77F8"/>
    <w:rsid w:val="008F239E"/>
    <w:rsid w:val="008F720D"/>
    <w:rsid w:val="008F78FB"/>
    <w:rsid w:val="009034E1"/>
    <w:rsid w:val="00911B21"/>
    <w:rsid w:val="009155FB"/>
    <w:rsid w:val="0093164E"/>
    <w:rsid w:val="00932591"/>
    <w:rsid w:val="00937D22"/>
    <w:rsid w:val="00944114"/>
    <w:rsid w:val="009450FE"/>
    <w:rsid w:val="00954AB2"/>
    <w:rsid w:val="00955AD8"/>
    <w:rsid w:val="00961DDA"/>
    <w:rsid w:val="00963F8D"/>
    <w:rsid w:val="00966061"/>
    <w:rsid w:val="009667AF"/>
    <w:rsid w:val="00977426"/>
    <w:rsid w:val="0098685E"/>
    <w:rsid w:val="00995B8C"/>
    <w:rsid w:val="009A14FE"/>
    <w:rsid w:val="009B6938"/>
    <w:rsid w:val="009C10C9"/>
    <w:rsid w:val="009C1F60"/>
    <w:rsid w:val="009C2392"/>
    <w:rsid w:val="009C24D1"/>
    <w:rsid w:val="009D4166"/>
    <w:rsid w:val="009D779C"/>
    <w:rsid w:val="009E17E2"/>
    <w:rsid w:val="009E4D39"/>
    <w:rsid w:val="009F0F58"/>
    <w:rsid w:val="009F5C84"/>
    <w:rsid w:val="00A13BD6"/>
    <w:rsid w:val="00A35F27"/>
    <w:rsid w:val="00A36FF2"/>
    <w:rsid w:val="00A423D0"/>
    <w:rsid w:val="00A50003"/>
    <w:rsid w:val="00A52A62"/>
    <w:rsid w:val="00A53004"/>
    <w:rsid w:val="00A57A79"/>
    <w:rsid w:val="00A627B6"/>
    <w:rsid w:val="00A775B4"/>
    <w:rsid w:val="00A80070"/>
    <w:rsid w:val="00A82831"/>
    <w:rsid w:val="00A838CB"/>
    <w:rsid w:val="00A96A2E"/>
    <w:rsid w:val="00AA18BA"/>
    <w:rsid w:val="00AA4322"/>
    <w:rsid w:val="00AB2740"/>
    <w:rsid w:val="00AB4946"/>
    <w:rsid w:val="00AB7AC5"/>
    <w:rsid w:val="00AC1831"/>
    <w:rsid w:val="00AC1F99"/>
    <w:rsid w:val="00AC40AB"/>
    <w:rsid w:val="00AE4070"/>
    <w:rsid w:val="00AE4833"/>
    <w:rsid w:val="00AE6201"/>
    <w:rsid w:val="00AF593E"/>
    <w:rsid w:val="00AF7BBE"/>
    <w:rsid w:val="00B13B9C"/>
    <w:rsid w:val="00B30D7B"/>
    <w:rsid w:val="00B3160A"/>
    <w:rsid w:val="00B32127"/>
    <w:rsid w:val="00B42E98"/>
    <w:rsid w:val="00B520F8"/>
    <w:rsid w:val="00B60712"/>
    <w:rsid w:val="00B6661F"/>
    <w:rsid w:val="00B75017"/>
    <w:rsid w:val="00B8187D"/>
    <w:rsid w:val="00B83CD6"/>
    <w:rsid w:val="00B86C22"/>
    <w:rsid w:val="00B870D2"/>
    <w:rsid w:val="00B90453"/>
    <w:rsid w:val="00B91F29"/>
    <w:rsid w:val="00B92072"/>
    <w:rsid w:val="00B92A79"/>
    <w:rsid w:val="00B93215"/>
    <w:rsid w:val="00B958C3"/>
    <w:rsid w:val="00B97D9E"/>
    <w:rsid w:val="00BA3BCB"/>
    <w:rsid w:val="00BB6831"/>
    <w:rsid w:val="00BB7812"/>
    <w:rsid w:val="00BD2C7B"/>
    <w:rsid w:val="00BE643D"/>
    <w:rsid w:val="00BE656D"/>
    <w:rsid w:val="00BF0499"/>
    <w:rsid w:val="00BF3EFF"/>
    <w:rsid w:val="00C00AB0"/>
    <w:rsid w:val="00C17F05"/>
    <w:rsid w:val="00C21F0A"/>
    <w:rsid w:val="00C227E5"/>
    <w:rsid w:val="00C3083C"/>
    <w:rsid w:val="00C44418"/>
    <w:rsid w:val="00C474CA"/>
    <w:rsid w:val="00C5414C"/>
    <w:rsid w:val="00C6271E"/>
    <w:rsid w:val="00C64885"/>
    <w:rsid w:val="00C65958"/>
    <w:rsid w:val="00C66F3C"/>
    <w:rsid w:val="00C76D01"/>
    <w:rsid w:val="00C8296D"/>
    <w:rsid w:val="00C905B4"/>
    <w:rsid w:val="00C9073C"/>
    <w:rsid w:val="00C9128F"/>
    <w:rsid w:val="00C91889"/>
    <w:rsid w:val="00C95AA7"/>
    <w:rsid w:val="00CA0E6F"/>
    <w:rsid w:val="00CA13DE"/>
    <w:rsid w:val="00CB055D"/>
    <w:rsid w:val="00CB10D2"/>
    <w:rsid w:val="00CC0724"/>
    <w:rsid w:val="00CC2DFA"/>
    <w:rsid w:val="00CC3887"/>
    <w:rsid w:val="00CD04F2"/>
    <w:rsid w:val="00CD68CF"/>
    <w:rsid w:val="00CE54E4"/>
    <w:rsid w:val="00D36A70"/>
    <w:rsid w:val="00D370E3"/>
    <w:rsid w:val="00D439BF"/>
    <w:rsid w:val="00D55042"/>
    <w:rsid w:val="00D60475"/>
    <w:rsid w:val="00D65BAF"/>
    <w:rsid w:val="00D80243"/>
    <w:rsid w:val="00D843A9"/>
    <w:rsid w:val="00D97C9F"/>
    <w:rsid w:val="00DA01E4"/>
    <w:rsid w:val="00DA52B7"/>
    <w:rsid w:val="00DB5780"/>
    <w:rsid w:val="00DC6695"/>
    <w:rsid w:val="00DD3C32"/>
    <w:rsid w:val="00DF3E32"/>
    <w:rsid w:val="00E05B39"/>
    <w:rsid w:val="00E11AC5"/>
    <w:rsid w:val="00E164F5"/>
    <w:rsid w:val="00E32A63"/>
    <w:rsid w:val="00E42C4B"/>
    <w:rsid w:val="00E55A13"/>
    <w:rsid w:val="00E6098F"/>
    <w:rsid w:val="00E63AEE"/>
    <w:rsid w:val="00E72840"/>
    <w:rsid w:val="00E75FD4"/>
    <w:rsid w:val="00E7652B"/>
    <w:rsid w:val="00E83E60"/>
    <w:rsid w:val="00E85423"/>
    <w:rsid w:val="00EA0791"/>
    <w:rsid w:val="00EA329B"/>
    <w:rsid w:val="00EA5A8A"/>
    <w:rsid w:val="00EA7473"/>
    <w:rsid w:val="00EB1E2A"/>
    <w:rsid w:val="00EC1B6B"/>
    <w:rsid w:val="00EC5283"/>
    <w:rsid w:val="00EC67AF"/>
    <w:rsid w:val="00ED0B54"/>
    <w:rsid w:val="00ED38D6"/>
    <w:rsid w:val="00ED6F63"/>
    <w:rsid w:val="00EE10C7"/>
    <w:rsid w:val="00EE2806"/>
    <w:rsid w:val="00EE50B0"/>
    <w:rsid w:val="00EE5D77"/>
    <w:rsid w:val="00EE6250"/>
    <w:rsid w:val="00EF26C0"/>
    <w:rsid w:val="00EF2AA7"/>
    <w:rsid w:val="00EF2D64"/>
    <w:rsid w:val="00EF3F4F"/>
    <w:rsid w:val="00EF3FF1"/>
    <w:rsid w:val="00EF56A7"/>
    <w:rsid w:val="00F05C68"/>
    <w:rsid w:val="00F1177E"/>
    <w:rsid w:val="00F11A90"/>
    <w:rsid w:val="00F11AD0"/>
    <w:rsid w:val="00F40A93"/>
    <w:rsid w:val="00F41F95"/>
    <w:rsid w:val="00F44D27"/>
    <w:rsid w:val="00F52D7A"/>
    <w:rsid w:val="00F65507"/>
    <w:rsid w:val="00F704F4"/>
    <w:rsid w:val="00F7221D"/>
    <w:rsid w:val="00F84617"/>
    <w:rsid w:val="00F85366"/>
    <w:rsid w:val="00F973E0"/>
    <w:rsid w:val="00FA15C3"/>
    <w:rsid w:val="00FA3248"/>
    <w:rsid w:val="00FA6019"/>
    <w:rsid w:val="00FD006B"/>
    <w:rsid w:val="00FD41D5"/>
    <w:rsid w:val="00FE1431"/>
    <w:rsid w:val="00FF4A32"/>
    <w:rsid w:val="00FF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B2CEA"/>
  <w15:chartTrackingRefBased/>
  <w15:docId w15:val="{F440E2F0-4369-46C0-A699-8D919D8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8E2037"/>
    <w:pPr>
      <w:outlineLvl w:val="0"/>
    </w:pPr>
    <w:rPr>
      <w:sz w:val="44"/>
      <w:szCs w:val="44"/>
    </w:rPr>
  </w:style>
  <w:style w:type="paragraph" w:styleId="Heading2">
    <w:name w:val="heading 2"/>
    <w:basedOn w:val="ListParagraph"/>
    <w:next w:val="Normal"/>
    <w:link w:val="Heading2Char"/>
    <w:uiPriority w:val="9"/>
    <w:unhideWhenUsed/>
    <w:qFormat/>
    <w:rsid w:val="008E2037"/>
    <w:pPr>
      <w:numPr>
        <w:numId w:val="2"/>
      </w:numPr>
      <w:spacing w:after="0" w:line="240" w:lineRule="auto"/>
      <w:contextualSpacing w:val="0"/>
      <w:outlineLvl w:val="1"/>
    </w:pPr>
    <w:rPr>
      <w:b/>
      <w:bCs/>
      <w:sz w:val="24"/>
      <w:u w:val="single"/>
    </w:rPr>
  </w:style>
  <w:style w:type="paragraph" w:styleId="Heading3">
    <w:name w:val="heading 3"/>
    <w:basedOn w:val="Normal"/>
    <w:next w:val="Normal"/>
    <w:link w:val="Heading3Char"/>
    <w:uiPriority w:val="9"/>
    <w:unhideWhenUsed/>
    <w:qFormat/>
    <w:rsid w:val="009325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2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0E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474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37"/>
    <w:rPr>
      <w:rFonts w:ascii="Arial" w:eastAsia="Times New Roman" w:hAnsi="Arial" w:cs="Times New Roman"/>
      <w:sz w:val="44"/>
      <w:szCs w:val="44"/>
      <w:lang w:eastAsia="en-AU"/>
    </w:rPr>
  </w:style>
  <w:style w:type="character" w:customStyle="1" w:styleId="Heading2Char">
    <w:name w:val="Heading 2 Char"/>
    <w:basedOn w:val="DefaultParagraphFont"/>
    <w:link w:val="Heading2"/>
    <w:uiPriority w:val="9"/>
    <w:rsid w:val="008E2037"/>
    <w:rPr>
      <w:b/>
      <w:bCs/>
      <w:sz w:val="24"/>
      <w:u w:val="single"/>
    </w:rPr>
  </w:style>
  <w:style w:type="character" w:customStyle="1" w:styleId="Heading3Char">
    <w:name w:val="Heading 3 Char"/>
    <w:basedOn w:val="DefaultParagraphFont"/>
    <w:link w:val="Heading3"/>
    <w:uiPriority w:val="9"/>
    <w:rsid w:val="0093259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7496A"/>
    <w:pPr>
      <w:spacing w:after="0" w:line="240" w:lineRule="auto"/>
    </w:pPr>
    <w:rPr>
      <w:rFonts w:ascii="Arial" w:eastAsia="Times New Roman" w:hAnsi="Arial" w:cs="Times New Roman"/>
      <w:szCs w:val="24"/>
      <w:lang w:eastAsia="en-AU"/>
    </w:rPr>
  </w:style>
  <w:style w:type="table" w:styleId="TableGrid">
    <w:name w:val="Table Grid"/>
    <w:basedOn w:val="TableNormal"/>
    <w:uiPriority w:val="39"/>
    <w:rsid w:val="0017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17496A"/>
    <w:pPr>
      <w:spacing w:after="200" w:line="276" w:lineRule="auto"/>
      <w:ind w:left="720"/>
      <w:contextualSpacing/>
    </w:p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17496A"/>
  </w:style>
  <w:style w:type="character" w:customStyle="1" w:styleId="Heading4Char">
    <w:name w:val="Heading 4 Char"/>
    <w:basedOn w:val="DefaultParagraphFont"/>
    <w:link w:val="Heading4"/>
    <w:uiPriority w:val="9"/>
    <w:rsid w:val="0055529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51E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B2740"/>
    <w:rPr>
      <w:sz w:val="16"/>
      <w:szCs w:val="16"/>
    </w:rPr>
  </w:style>
  <w:style w:type="paragraph" w:styleId="CommentText">
    <w:name w:val="annotation text"/>
    <w:basedOn w:val="Normal"/>
    <w:link w:val="CommentTextChar"/>
    <w:uiPriority w:val="99"/>
    <w:semiHidden/>
    <w:unhideWhenUsed/>
    <w:rsid w:val="00AB2740"/>
    <w:pPr>
      <w:spacing w:line="240" w:lineRule="auto"/>
    </w:pPr>
    <w:rPr>
      <w:sz w:val="20"/>
      <w:szCs w:val="20"/>
    </w:rPr>
  </w:style>
  <w:style w:type="character" w:customStyle="1" w:styleId="CommentTextChar">
    <w:name w:val="Comment Text Char"/>
    <w:basedOn w:val="DefaultParagraphFont"/>
    <w:link w:val="CommentText"/>
    <w:uiPriority w:val="99"/>
    <w:semiHidden/>
    <w:rsid w:val="00AB2740"/>
    <w:rPr>
      <w:sz w:val="20"/>
      <w:szCs w:val="20"/>
    </w:rPr>
  </w:style>
  <w:style w:type="paragraph" w:styleId="CommentSubject">
    <w:name w:val="annotation subject"/>
    <w:basedOn w:val="CommentText"/>
    <w:next w:val="CommentText"/>
    <w:link w:val="CommentSubjectChar"/>
    <w:uiPriority w:val="99"/>
    <w:semiHidden/>
    <w:unhideWhenUsed/>
    <w:rsid w:val="00AB2740"/>
    <w:rPr>
      <w:b/>
      <w:bCs/>
    </w:rPr>
  </w:style>
  <w:style w:type="character" w:customStyle="1" w:styleId="CommentSubjectChar">
    <w:name w:val="Comment Subject Char"/>
    <w:basedOn w:val="CommentTextChar"/>
    <w:link w:val="CommentSubject"/>
    <w:uiPriority w:val="99"/>
    <w:semiHidden/>
    <w:rsid w:val="00AB2740"/>
    <w:rPr>
      <w:b/>
      <w:bCs/>
      <w:sz w:val="20"/>
      <w:szCs w:val="20"/>
    </w:rPr>
  </w:style>
  <w:style w:type="paragraph" w:styleId="BalloonText">
    <w:name w:val="Balloon Text"/>
    <w:basedOn w:val="Normal"/>
    <w:link w:val="BalloonTextChar"/>
    <w:uiPriority w:val="99"/>
    <w:semiHidden/>
    <w:unhideWhenUsed/>
    <w:rsid w:val="00AB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40"/>
    <w:rPr>
      <w:rFonts w:ascii="Segoe UI" w:hAnsi="Segoe UI" w:cs="Segoe UI"/>
      <w:sz w:val="18"/>
      <w:szCs w:val="18"/>
    </w:rPr>
  </w:style>
  <w:style w:type="character" w:customStyle="1" w:styleId="Heading5Char">
    <w:name w:val="Heading 5 Char"/>
    <w:basedOn w:val="DefaultParagraphFont"/>
    <w:link w:val="Heading5"/>
    <w:uiPriority w:val="9"/>
    <w:rsid w:val="00110E3F"/>
    <w:rPr>
      <w:rFonts w:asciiTheme="majorHAnsi" w:eastAsiaTheme="majorEastAsia" w:hAnsiTheme="majorHAnsi" w:cstheme="majorBidi"/>
      <w:color w:val="2E74B5" w:themeColor="accent1" w:themeShade="BF"/>
    </w:rPr>
  </w:style>
  <w:style w:type="paragraph" w:styleId="ListBullet">
    <w:name w:val="List Bullet"/>
    <w:basedOn w:val="Normal"/>
    <w:uiPriority w:val="99"/>
    <w:semiHidden/>
    <w:unhideWhenUsed/>
    <w:rsid w:val="00370AEC"/>
    <w:pPr>
      <w:spacing w:after="200" w:line="276" w:lineRule="auto"/>
      <w:ind w:left="369" w:hanging="369"/>
    </w:pPr>
    <w:rPr>
      <w:rFonts w:ascii="Arial" w:hAnsi="Arial" w:cs="Arial"/>
    </w:rPr>
  </w:style>
  <w:style w:type="character" w:styleId="Hyperlink">
    <w:name w:val="Hyperlink"/>
    <w:basedOn w:val="DefaultParagraphFont"/>
    <w:uiPriority w:val="99"/>
    <w:unhideWhenUsed/>
    <w:rsid w:val="00ED38D6"/>
    <w:rPr>
      <w:color w:val="0563C1" w:themeColor="hyperlink"/>
      <w:u w:val="single"/>
    </w:rPr>
  </w:style>
  <w:style w:type="paragraph" w:customStyle="1" w:styleId="Default">
    <w:name w:val="Default"/>
    <w:rsid w:val="00977426"/>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rsid w:val="00C474C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C6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71E"/>
  </w:style>
  <w:style w:type="paragraph" w:styleId="Footer">
    <w:name w:val="footer"/>
    <w:basedOn w:val="Normal"/>
    <w:link w:val="FooterChar"/>
    <w:uiPriority w:val="99"/>
    <w:unhideWhenUsed/>
    <w:rsid w:val="00C6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71E"/>
  </w:style>
  <w:style w:type="paragraph" w:styleId="Revision">
    <w:name w:val="Revision"/>
    <w:hidden/>
    <w:uiPriority w:val="99"/>
    <w:semiHidden/>
    <w:rsid w:val="00F41F95"/>
    <w:pPr>
      <w:spacing w:after="0" w:line="240" w:lineRule="auto"/>
    </w:pPr>
  </w:style>
  <w:style w:type="character" w:styleId="FollowedHyperlink">
    <w:name w:val="FollowedHyperlink"/>
    <w:basedOn w:val="DefaultParagraphFont"/>
    <w:uiPriority w:val="99"/>
    <w:semiHidden/>
    <w:unhideWhenUsed/>
    <w:rsid w:val="00966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3586">
      <w:bodyDiv w:val="1"/>
      <w:marLeft w:val="0"/>
      <w:marRight w:val="0"/>
      <w:marTop w:val="0"/>
      <w:marBottom w:val="0"/>
      <w:divBdr>
        <w:top w:val="none" w:sz="0" w:space="0" w:color="auto"/>
        <w:left w:val="none" w:sz="0" w:space="0" w:color="auto"/>
        <w:bottom w:val="none" w:sz="0" w:space="0" w:color="auto"/>
        <w:right w:val="none" w:sz="0" w:space="0" w:color="auto"/>
      </w:divBdr>
    </w:div>
    <w:div w:id="373847820">
      <w:bodyDiv w:val="1"/>
      <w:marLeft w:val="0"/>
      <w:marRight w:val="0"/>
      <w:marTop w:val="0"/>
      <w:marBottom w:val="0"/>
      <w:divBdr>
        <w:top w:val="none" w:sz="0" w:space="0" w:color="auto"/>
        <w:left w:val="none" w:sz="0" w:space="0" w:color="auto"/>
        <w:bottom w:val="none" w:sz="0" w:space="0" w:color="auto"/>
        <w:right w:val="none" w:sz="0" w:space="0" w:color="auto"/>
      </w:divBdr>
    </w:div>
    <w:div w:id="706299816">
      <w:bodyDiv w:val="1"/>
      <w:marLeft w:val="0"/>
      <w:marRight w:val="0"/>
      <w:marTop w:val="0"/>
      <w:marBottom w:val="0"/>
      <w:divBdr>
        <w:top w:val="none" w:sz="0" w:space="0" w:color="auto"/>
        <w:left w:val="none" w:sz="0" w:space="0" w:color="auto"/>
        <w:bottom w:val="none" w:sz="0" w:space="0" w:color="auto"/>
        <w:right w:val="none" w:sz="0" w:space="0" w:color="auto"/>
      </w:divBdr>
    </w:div>
    <w:div w:id="778187968">
      <w:bodyDiv w:val="1"/>
      <w:marLeft w:val="0"/>
      <w:marRight w:val="0"/>
      <w:marTop w:val="0"/>
      <w:marBottom w:val="0"/>
      <w:divBdr>
        <w:top w:val="none" w:sz="0" w:space="0" w:color="auto"/>
        <w:left w:val="none" w:sz="0" w:space="0" w:color="auto"/>
        <w:bottom w:val="none" w:sz="0" w:space="0" w:color="auto"/>
        <w:right w:val="none" w:sz="0" w:space="0" w:color="auto"/>
      </w:divBdr>
    </w:div>
    <w:div w:id="852574124">
      <w:bodyDiv w:val="1"/>
      <w:marLeft w:val="0"/>
      <w:marRight w:val="0"/>
      <w:marTop w:val="0"/>
      <w:marBottom w:val="0"/>
      <w:divBdr>
        <w:top w:val="none" w:sz="0" w:space="0" w:color="auto"/>
        <w:left w:val="none" w:sz="0" w:space="0" w:color="auto"/>
        <w:bottom w:val="none" w:sz="0" w:space="0" w:color="auto"/>
        <w:right w:val="none" w:sz="0" w:space="0" w:color="auto"/>
      </w:divBdr>
    </w:div>
    <w:div w:id="1006857558">
      <w:bodyDiv w:val="1"/>
      <w:marLeft w:val="0"/>
      <w:marRight w:val="0"/>
      <w:marTop w:val="0"/>
      <w:marBottom w:val="0"/>
      <w:divBdr>
        <w:top w:val="none" w:sz="0" w:space="0" w:color="auto"/>
        <w:left w:val="none" w:sz="0" w:space="0" w:color="auto"/>
        <w:bottom w:val="none" w:sz="0" w:space="0" w:color="auto"/>
        <w:right w:val="none" w:sz="0" w:space="0" w:color="auto"/>
      </w:divBdr>
    </w:div>
    <w:div w:id="1312751705">
      <w:bodyDiv w:val="1"/>
      <w:marLeft w:val="0"/>
      <w:marRight w:val="0"/>
      <w:marTop w:val="0"/>
      <w:marBottom w:val="0"/>
      <w:divBdr>
        <w:top w:val="none" w:sz="0" w:space="0" w:color="auto"/>
        <w:left w:val="none" w:sz="0" w:space="0" w:color="auto"/>
        <w:bottom w:val="none" w:sz="0" w:space="0" w:color="auto"/>
        <w:right w:val="none" w:sz="0" w:space="0" w:color="auto"/>
      </w:divBdr>
    </w:div>
    <w:div w:id="1552645611">
      <w:bodyDiv w:val="1"/>
      <w:marLeft w:val="0"/>
      <w:marRight w:val="0"/>
      <w:marTop w:val="0"/>
      <w:marBottom w:val="0"/>
      <w:divBdr>
        <w:top w:val="none" w:sz="0" w:space="0" w:color="auto"/>
        <w:left w:val="none" w:sz="0" w:space="0" w:color="auto"/>
        <w:bottom w:val="none" w:sz="0" w:space="0" w:color="auto"/>
        <w:right w:val="none" w:sz="0" w:space="0" w:color="auto"/>
      </w:divBdr>
    </w:div>
    <w:div w:id="1595555732">
      <w:bodyDiv w:val="1"/>
      <w:marLeft w:val="0"/>
      <w:marRight w:val="0"/>
      <w:marTop w:val="0"/>
      <w:marBottom w:val="0"/>
      <w:divBdr>
        <w:top w:val="none" w:sz="0" w:space="0" w:color="auto"/>
        <w:left w:val="none" w:sz="0" w:space="0" w:color="auto"/>
        <w:bottom w:val="none" w:sz="0" w:space="0" w:color="auto"/>
        <w:right w:val="none" w:sz="0" w:space="0" w:color="auto"/>
      </w:divBdr>
    </w:div>
    <w:div w:id="1639412323">
      <w:bodyDiv w:val="1"/>
      <w:marLeft w:val="0"/>
      <w:marRight w:val="0"/>
      <w:marTop w:val="0"/>
      <w:marBottom w:val="0"/>
      <w:divBdr>
        <w:top w:val="none" w:sz="0" w:space="0" w:color="auto"/>
        <w:left w:val="none" w:sz="0" w:space="0" w:color="auto"/>
        <w:bottom w:val="none" w:sz="0" w:space="0" w:color="auto"/>
        <w:right w:val="none" w:sz="0" w:space="0" w:color="auto"/>
      </w:divBdr>
    </w:div>
    <w:div w:id="1777368362">
      <w:bodyDiv w:val="1"/>
      <w:marLeft w:val="0"/>
      <w:marRight w:val="0"/>
      <w:marTop w:val="0"/>
      <w:marBottom w:val="0"/>
      <w:divBdr>
        <w:top w:val="none" w:sz="0" w:space="0" w:color="auto"/>
        <w:left w:val="none" w:sz="0" w:space="0" w:color="auto"/>
        <w:bottom w:val="none" w:sz="0" w:space="0" w:color="auto"/>
        <w:right w:val="none" w:sz="0" w:space="0" w:color="auto"/>
      </w:divBdr>
    </w:div>
    <w:div w:id="2131197326">
      <w:bodyDiv w:val="1"/>
      <w:marLeft w:val="0"/>
      <w:marRight w:val="0"/>
      <w:marTop w:val="0"/>
      <w:marBottom w:val="0"/>
      <w:divBdr>
        <w:top w:val="none" w:sz="0" w:space="0" w:color="auto"/>
        <w:left w:val="none" w:sz="0" w:space="0" w:color="auto"/>
        <w:bottom w:val="none" w:sz="0" w:space="0" w:color="auto"/>
        <w:right w:val="none" w:sz="0" w:space="0" w:color="auto"/>
      </w:divBdr>
    </w:div>
    <w:div w:id="21399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law/view/document?DocID=DXT/TD2020D1/NAT/ATO/00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to.gov.au/Business/Business-bulletins-newsroom/Public-advice-and-guidance/Draft-Taxation-Determination-TD-2020/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rd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Talk Points</TermName>
          <TermId>259d99c0-c8be-434c-8d1e-2e7c8cd146e5</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QA＆E Team</TermName>
          <TermId>0c36d27d-9fb4-4f47-b732-a9cfc0bd7261</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fa7a0ce8d25a4404813a3f5ddca1ff61 xmlns="2a251b7e-61e4-4816-a71f-b295a9ad20fb">
      <Terms xmlns="http://schemas.microsoft.com/office/infopath/2007/PartnerControls">
        <TermInfo xmlns="http://schemas.microsoft.com/office/infopath/2007/PartnerControls">
          <TermName>Quality Assurance ＆ Engagement</TermName>
          <TermId>07e4cd81-7a18-4e45-b3c4-b652921e6ecc</TermId>
        </TermInfo>
      </Terms>
    </fa7a0ce8d25a4404813a3f5ddca1ff61>
    <TaxCatchAll xmlns="2a251b7e-61e4-4816-a71f-b295a9ad20fb">
      <Value>20844</Value>
      <Value>614</Value>
      <Value>22342</Value>
      <Value>16487</Value>
      <Value>8</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YZXQVS7QACYM-2114359073-6123</_dlc_DocId>
    <_dlc_DocIdUrl xmlns="2a251b7e-61e4-4816-a71f-b295a9ad20fb">
      <Url>https://dochub/div/ausindustry/programmesprojectstaskforces/rdti/_layouts/15/DocIdRedir.aspx?ID=YZXQVS7QACYM-2114359073-6123</Url>
      <Description>YZXQVS7QACYM-2114359073-6123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CFDB8658285D4D99FEE5F5E2C18570" ma:contentTypeVersion="22" ma:contentTypeDescription="Create a new document." ma:contentTypeScope="" ma:versionID="a2a3a3330a673cd5781180124421e8c4">
  <xsd:schema xmlns:xsd="http://www.w3.org/2001/XMLSchema" xmlns:xs="http://www.w3.org/2001/XMLSchema" xmlns:p="http://schemas.microsoft.com/office/2006/metadata/properties" xmlns:ns1="http://schemas.microsoft.com/sharepoint/v3" xmlns:ns2="2a251b7e-61e4-4816-a71f-b295a9ad20fb" xmlns:ns3="6f9728c6-1ec7-4558-b121-e5f99e48c333" xmlns:ns4="http://schemas.microsoft.com/sharepoint/v4" targetNamespace="http://schemas.microsoft.com/office/2006/metadata/properties" ma:root="true" ma:fieldsID="ef0ed8b05832d3d21513ad4dafa0f236" ns1:_="" ns2:_="" ns3:_="" ns4:_="">
    <xsd:import namespace="http://schemas.microsoft.com/sharepoint/v3"/>
    <xsd:import namespace="2a251b7e-61e4-4816-a71f-b295a9ad20fb"/>
    <xsd:import namespace="6f9728c6-1ec7-4558-b121-e5f99e48c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element ref="ns2:fa7a0ce8d25a4404813a3f5ddca1ff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fa7a0ce8d25a4404813a3f5ddca1ff61" ma:index="30" nillable="true" ma:taxonomy="true" ma:internalName="fa7a0ce8d25a4404813a3f5ddca1ff61" ma:taxonomyFieldName="DocHub_DSOSection" ma:displayName="Section" ma:indexed="true" ma:readOnly="false" ma:default="" ma:fieldId="{fa7a0ce8-d25a-4404-813a-3f5ddca1ff61}" ma:sspId="fb0313f7-9433-48c0-866e-9e0bbee59a50" ma:termSetId="fbb8df80-f7d4-4067-9e0c-a8cdc6d3d90f" ma:anchorId="9d473646-32be-426d-925f-87cf45278b1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728c6-1ec7-4558-b121-e5f99e48c333"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F833-79CB-4E51-B787-E1E907323DF8}">
  <ds:schemaRef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6f9728c6-1ec7-4558-b121-e5f99e48c333"/>
    <ds:schemaRef ds:uri="2a251b7e-61e4-4816-a71f-b295a9ad20fb"/>
    <ds:schemaRef ds:uri="http://www.w3.org/XML/1998/namespace"/>
    <ds:schemaRef ds:uri="http://purl.org/dc/dcmitype/"/>
  </ds:schemaRefs>
</ds:datastoreItem>
</file>

<file path=customXml/itemProps2.xml><?xml version="1.0" encoding="utf-8"?>
<ds:datastoreItem xmlns:ds="http://schemas.openxmlformats.org/officeDocument/2006/customXml" ds:itemID="{A93A561E-19EE-4231-9DCF-D638EB4CA606}">
  <ds:schemaRefs>
    <ds:schemaRef ds:uri="http://schemas.microsoft.com/sharepoint/v3/contenttype/forms"/>
  </ds:schemaRefs>
</ds:datastoreItem>
</file>

<file path=customXml/itemProps3.xml><?xml version="1.0" encoding="utf-8"?>
<ds:datastoreItem xmlns:ds="http://schemas.openxmlformats.org/officeDocument/2006/customXml" ds:itemID="{852A81C6-84BF-4004-94AC-B37BAE80F3DC}">
  <ds:schemaRefs>
    <ds:schemaRef ds:uri="http://schemas.microsoft.com/sharepoint/events"/>
  </ds:schemaRefs>
</ds:datastoreItem>
</file>

<file path=customXml/itemProps4.xml><?xml version="1.0" encoding="utf-8"?>
<ds:datastoreItem xmlns:ds="http://schemas.openxmlformats.org/officeDocument/2006/customXml" ds:itemID="{E9441B5C-FE9D-4979-9BCE-DEEB03E8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f9728c6-1ec7-4558-b121-e5f99e48c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1BA30-6EA1-4994-BBFB-7946D5F1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Scott</dc:creator>
  <cp:keywords/>
  <dc:description/>
  <cp:lastModifiedBy>Bolden, James</cp:lastModifiedBy>
  <cp:revision>4</cp:revision>
  <cp:lastPrinted>2020-09-04T05:56:00Z</cp:lastPrinted>
  <dcterms:created xsi:type="dcterms:W3CDTF">2020-09-04T05:57:00Z</dcterms:created>
  <dcterms:modified xsi:type="dcterms:W3CDTF">2020-09-08T22:56:00Z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0x0101004ECFDB8658285D4D99FEE5F5E2C18570</vt:lpwstr>
  </property>
  <property fmtid="{D5CDD505-2E9C-101B-9397-08002B2CF9AE}" pid="3" name="DocHub_Year">
    <vt:lpwstr>16487;#2019|7e451fe0-4dc6-437a-a849-bab7965a9aee</vt:lpwstr>
  </property>
  <property fmtid="{D5CDD505-2E9C-101B-9397-08002B2CF9AE}" pid="4" name="DocHub_DocumentType">
    <vt:lpwstr>614;#Talk Points|259d99c0-c8be-434c-8d1e-2e7c8cd146e5</vt:lpwstr>
  </property>
  <property fmtid="{D5CDD505-2E9C-101B-9397-08002B2CF9AE}" pid="5" name="DocHub_SecurityClassification">
    <vt:lpwstr>8;#OFFICIAL:Sensitive|11f6fb0b-52ce-4109-8f7f-521b2a62f692</vt:lpwstr>
  </property>
  <property fmtid="{D5CDD505-2E9C-101B-9397-08002B2CF9AE}" pid="6" name="DocHub_Keywords">
    <vt:lpwstr>22342;#QA＆E Team|0c36d27d-9fb4-4f47-b732-a9cfc0bd7261</vt:lpwstr>
  </property>
  <property fmtid="{D5CDD505-2E9C-101B-9397-08002B2CF9AE}" pid="7" name="DocHub_DSOSection">
    <vt:lpwstr>20844;#Quality Assurance ＆ Engagement|07e4cd81-7a18-4e45-b3c4-b652921e6ecc</vt:lpwstr>
  </property>
  <property fmtid="{D5CDD505-2E9C-101B-9397-08002B2CF9AE}" pid="8" name="DocHub_WorkActivity">
    <vt:lpwstr/>
  </property>
  <property fmtid="{D5CDD505-2E9C-101B-9397-08002B2CF9AE}" pid="9" name="DocHub_EntityCustomer">
    <vt:lpwstr/>
  </property>
  <property fmtid="{D5CDD505-2E9C-101B-9397-08002B2CF9AE}" pid="10" name="_dlc_DocIdItemGuid">
    <vt:lpwstr>89f892f1-7dbd-4b6c-b848-602722bcb1fa</vt:lpwstr>
  </property>
</Properties>
</file>