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media/image1.jpg" ContentType="image/jp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0" w:after="413" w:line="494" w:lineRule="exact"/>
        <w:ind w:right="0" w:left="144" w:firstLine="0"/>
        <w:jc w:val="left"/>
        <w:textAlignment w:val="baseline"/>
        <w:rPr>
          <w:rFonts w:ascii="Arial" w:hAnsi="Arial" w:eastAsia="Arial"/>
          <w:color w:val="000000"/>
          <w:spacing w:val="0"/>
          <w:w w:val="100"/>
          <w:sz w:val="44"/>
          <w:vertAlign w:val="baseline"/>
          <w:lang w:val="en-US"/>
        </w:rPr>
      </w:pPr>
      <w:r>
        <w:pict>
          <v:shapetype id="_x0000_t1" coordsize="21600,21600" o:spt="202" path="m,l,21600r21600,l21600,xe">
            <v:stroke joinstyle="miter"/>
            <v:path gradientshapeok="t" o:connecttype="rect"/>
          </v:shapetype>
          <v:shape id="_x0000_s0" type="#_x0000_t1" filled="f" stroked="f" style="position:absolute;width:461pt;height:55.45pt;z-index:-1000;margin-left:52.55pt;margin-top:18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48" w:line="240" w:lineRule="auto"/>
                    <w:ind w:right="18" w:left="0"/>
                    <w:jc w:val="left"/>
                    <w:textAlignment w:val="baseline"/>
                  </w:pPr>
                  <w:r>
                    <w:drawing>
                      <wp:inline>
                        <wp:extent cx="5843270" cy="673735"/>
                        <wp:docPr name="Picture" id="1"/>
                        <a:graphic>
                          <a:graphicData uri="http://schemas.openxmlformats.org/drawingml/2006/picture">
                            <pic:pic>
                              <pic:nvPicPr>
                                <pic:cNvPr id="1" name="Picture"/>
                                <pic:cNvPicPr preferRelativeResize="false"/>
                              </pic:nvPicPr>
                              <pic:blipFill>
                                <a:blip r:embed="prId1"/>
                                <a:stretch>
                                  <a:fillRect/>
                                </a:stretch>
                              </pic:blipFill>
                              <pic:spPr>
                                <a:xfrm>
                                  <a:off x="0" y="0"/>
                                  <a:ext cx="5843270" cy="673735"/>
                                </a:xfrm>
                                <a:prstGeom prst="rect"/>
                              </pic:spPr>
                            </pic:pic>
                          </a:graphicData>
                        </a:graphic>
                      </wp:inline>
                    </w:drawing>
                  </w:r>
                </w:p>
              </w:txbxContent>
            </v:textbox>
          </v:shape>
        </w:pict>
      </w:r>
      <w:r>
        <w:rPr>
          <w:rFonts w:ascii="Arial" w:hAnsi="Arial" w:eastAsia="Arial"/>
          <w:color w:val="000000"/>
          <w:spacing w:val="0"/>
          <w:w w:val="100"/>
          <w:sz w:val="44"/>
          <w:vertAlign w:val="baseline"/>
          <w:lang w:val="en-US"/>
        </w:rPr>
        <w:t xml:space="preserve">SUMMARY: R&amp;D Tax Incentive Roundtable</w:t>
      </w:r>
    </w:p>
    <w:tbl>
      <w:tblPr>
        <w:jc w:val="left"/>
        <w:tblInd w:w="163" w:type="dxa"/>
        <w:tblLayout w:type="fixed"/>
        <w:tblCellMar>
          <w:left w:w="0" w:type="dxa"/>
          <w:right w:w="0" w:type="dxa"/>
        </w:tblCellMar>
      </w:tblPr>
      <w:tblGrid>
        <w:gridCol w:w="1699"/>
        <w:gridCol w:w="3264"/>
        <w:gridCol w:w="1983"/>
        <w:gridCol w:w="2083"/>
      </w:tblGrid>
      <w:tr>
        <w:trPr>
          <w:trHeight w:val="307" w:hRule="exact"/>
        </w:trPr>
        <w:tc>
          <w:tcPr>
            <w:tcW w:w="1862" w:type="auto"/>
            <w:gridSpan w:val="1"/>
            <w:tcBorders>
              <w:top w:val="single" w:sz="5" w:color="000000"/>
              <w:left w:val="single" w:sz="5" w:color="000000"/>
              <w:bottom w:val="single" w:sz="5" w:color="000000"/>
              <w:right w:val="single" w:sz="5" w:color="000000"/>
            </w:tcBorders>
            <w:shd w:val="clear" w:color="9CC2E4" w:fill="9CC2E4"/>
            <w:textDirection w:val="lrTb"/>
            <w:vAlign w:val="center"/>
          </w:tcPr>
          <w:p>
            <w:pPr>
              <w:pageBreakBefore w:val="false"/>
              <w:spacing w:before="48" w:after="4" w:line="245" w:lineRule="exact"/>
              <w:ind w:right="0" w:left="115" w:firstLine="0"/>
              <w:jc w:val="left"/>
              <w:textAlignment w:val="baseline"/>
              <w:rPr>
                <w:rFonts w:ascii="Calibri" w:hAnsi="Calibri" w:eastAsia="Calibri"/>
                <w:b w:val="true"/>
                <w:color w:val="000000"/>
                <w:spacing w:val="0"/>
                <w:w w:val="100"/>
                <w:sz w:val="24"/>
                <w:vertAlign w:val="baseline"/>
                <w:lang w:val="en-US"/>
              </w:rPr>
            </w:pPr>
            <w:r>
              <w:rPr>
                <w:rFonts w:ascii="Calibri" w:hAnsi="Calibri" w:eastAsia="Calibri"/>
                <w:b w:val="true"/>
                <w:color w:val="000000"/>
                <w:spacing w:val="0"/>
                <w:w w:val="100"/>
                <w:sz w:val="24"/>
                <w:vertAlign w:val="baseline"/>
                <w:lang w:val="en-US"/>
              </w:rPr>
              <w:t xml:space="preserve">Meeting</w:t>
            </w:r>
          </w:p>
        </w:tc>
        <w:tc>
          <w:tcPr>
            <w:tcW w:w="9192" w:type="auto"/>
            <w:gridSpan w:val="3"/>
            <w:tcBorders>
              <w:top w:val="single" w:sz="5" w:color="000000"/>
              <w:left w:val="single" w:sz="5" w:color="000000"/>
              <w:bottom w:val="single" w:sz="5" w:color="000000"/>
              <w:right w:val="single" w:sz="5" w:color="000000"/>
            </w:tcBorders>
            <w:shd w:val="clear" w:color="9CC2E4" w:fill="9CC2E4"/>
            <w:textDirection w:val="lrTb"/>
            <w:vAlign w:val="center"/>
          </w:tcPr>
          <w:p>
            <w:pPr>
              <w:pageBreakBefore w:val="false"/>
              <w:spacing w:before="48" w:after="4" w:line="245" w:lineRule="exact"/>
              <w:ind w:right="0" w:left="111" w:firstLine="0"/>
              <w:jc w:val="left"/>
              <w:textAlignment w:val="baseline"/>
              <w:rPr>
                <w:rFonts w:ascii="Calibri" w:hAnsi="Calibri" w:eastAsia="Calibri"/>
                <w:b w:val="true"/>
                <w:color w:val="000000"/>
                <w:spacing w:val="0"/>
                <w:w w:val="100"/>
                <w:sz w:val="24"/>
                <w:vertAlign w:val="baseline"/>
                <w:lang w:val="en-US"/>
              </w:rPr>
            </w:pPr>
            <w:r>
              <w:rPr>
                <w:rFonts w:ascii="Calibri" w:hAnsi="Calibri" w:eastAsia="Calibri"/>
                <w:b w:val="true"/>
                <w:color w:val="000000"/>
                <w:spacing w:val="0"/>
                <w:w w:val="100"/>
                <w:sz w:val="24"/>
                <w:vertAlign w:val="baseline"/>
                <w:lang w:val="en-US"/>
              </w:rPr>
              <w:t xml:space="preserve">R&amp;D Tax Incentive Roundtable</w:t>
            </w:r>
          </w:p>
        </w:tc>
      </w:tr>
      <w:tr>
        <w:trPr>
          <w:trHeight w:val="547" w:hRule="exact"/>
        </w:trPr>
        <w:tc>
          <w:tcPr>
            <w:tcW w:w="1862"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43" w:after="269" w:line="226" w:lineRule="exact"/>
              <w:ind w:right="0" w:left="115"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Meeting Date</w:t>
            </w:r>
          </w:p>
        </w:tc>
        <w:tc>
          <w:tcPr>
            <w:tcW w:w="5126"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43" w:after="273" w:line="222" w:lineRule="exact"/>
              <w:ind w:right="0" w:left="111"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26 November 2019</w:t>
            </w:r>
          </w:p>
        </w:tc>
        <w:tc>
          <w:tcPr>
            <w:tcW w:w="710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4" w:line="267" w:lineRule="exact"/>
              <w:ind w:right="0" w:left="108"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Start Time</w:t>
            </w:r>
            <w:r>
              <w:rPr>
                <w:rFonts w:ascii="Calibri" w:hAnsi="Calibri" w:eastAsia="Calibri"/>
                <w:color w:val="000000"/>
                <w:spacing w:val="0"/>
                <w:w w:val="100"/>
                <w:sz w:val="22"/>
                <w:vertAlign w:val="baseline"/>
                <w:lang w:val="en-US"/>
              </w:rPr>
              <w:t xml:space="preserve">:</w:t>
              <w:br/>
            </w:r>
            <w:r>
              <w:rPr>
                <w:rFonts w:ascii="Calibri" w:hAnsi="Calibri" w:eastAsia="Calibri"/>
                <w:color w:val="000000"/>
                <w:spacing w:val="0"/>
                <w:w w:val="100"/>
                <w:sz w:val="22"/>
                <w:vertAlign w:val="baseline"/>
                <w:lang w:val="en-US"/>
              </w:rPr>
              <w:t xml:space="preserve">10:00am</w:t>
            </w:r>
          </w:p>
        </w:tc>
        <w:tc>
          <w:tcPr>
            <w:tcW w:w="9192"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43" w:after="269" w:line="226" w:lineRule="exact"/>
              <w:ind w:right="0" w:left="115"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End Time</w:t>
            </w:r>
            <w:r>
              <w:rPr>
                <w:rFonts w:ascii="Calibri" w:hAnsi="Calibri" w:eastAsia="Calibri"/>
                <w:color w:val="000000"/>
                <w:spacing w:val="0"/>
                <w:w w:val="100"/>
                <w:sz w:val="22"/>
                <w:vertAlign w:val="baseline"/>
                <w:lang w:val="en-US"/>
              </w:rPr>
              <w:t xml:space="preserve">: 12:15pm</w:t>
            </w:r>
          </w:p>
        </w:tc>
      </w:tr>
      <w:tr>
        <w:trPr>
          <w:trHeight w:val="548" w:hRule="exact"/>
        </w:trPr>
        <w:tc>
          <w:tcPr>
            <w:tcW w:w="1862"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43" w:after="272" w:line="223" w:lineRule="exact"/>
              <w:ind w:right="0" w:left="115"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Co-Chairs</w:t>
            </w:r>
          </w:p>
        </w:tc>
        <w:tc>
          <w:tcPr>
            <w:tcW w:w="5126"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43" w:after="0" w:line="223" w:lineRule="exact"/>
              <w:ind w:right="0" w:left="144"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Scott Treatt </w:t>
            </w:r>
            <w:r>
              <w:rPr>
                <w:rFonts w:ascii="Calibri" w:hAnsi="Calibri" w:eastAsia="Calibri"/>
                <w:b w:val="true"/>
                <w:color w:val="000000"/>
                <w:spacing w:val="0"/>
                <w:w w:val="100"/>
                <w:sz w:val="22"/>
                <w:vertAlign w:val="baseline"/>
                <w:lang w:val="en-US"/>
              </w:rPr>
              <w:t xml:space="preserve">(ATO)</w:t>
            </w:r>
          </w:p>
          <w:p>
            <w:pPr>
              <w:pageBreakBefore w:val="false"/>
              <w:spacing w:before="46" w:after="3" w:line="223" w:lineRule="exact"/>
              <w:ind w:right="0" w:left="144"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Lorraine Chiroiu </w:t>
            </w:r>
            <w:r>
              <w:rPr>
                <w:rFonts w:ascii="Calibri" w:hAnsi="Calibri" w:eastAsia="Calibri"/>
                <w:b w:val="true"/>
                <w:color w:val="000000"/>
                <w:spacing w:val="0"/>
                <w:w w:val="100"/>
                <w:sz w:val="22"/>
                <w:vertAlign w:val="baseline"/>
                <w:lang w:val="en-US"/>
              </w:rPr>
              <w:t xml:space="preserve">(AusBiotech)</w:t>
            </w:r>
          </w:p>
        </w:tc>
        <w:tc>
          <w:tcPr>
            <w:tcW w:w="710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43" w:after="272" w:line="223" w:lineRule="exact"/>
              <w:ind w:right="884" w:left="0" w:firstLine="0"/>
              <w:jc w:val="righ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Secretariat</w:t>
            </w:r>
          </w:p>
        </w:tc>
        <w:tc>
          <w:tcPr>
            <w:tcW w:w="9192"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43" w:after="273" w:line="222" w:lineRule="exact"/>
              <w:ind w:right="0" w:left="115"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DIIS</w:t>
            </w:r>
          </w:p>
        </w:tc>
      </w:tr>
      <w:tr>
        <w:trPr>
          <w:trHeight w:val="2697" w:hRule="exact"/>
        </w:trPr>
        <w:tc>
          <w:tcPr>
            <w:tcW w:w="1862"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42" w:after="2418" w:line="223" w:lineRule="exact"/>
              <w:ind w:right="0" w:left="115"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Attendees</w:t>
            </w:r>
          </w:p>
        </w:tc>
        <w:tc>
          <w:tcPr>
            <w:tcW w:w="9192" w:type="auto"/>
            <w:gridSpan w:val="3"/>
            <w:tcBorders>
              <w:top w:val="single" w:sz="5" w:color="000000"/>
              <w:left w:val="single" w:sz="5" w:color="000000"/>
              <w:bottom w:val="single" w:sz="5" w:color="000000"/>
              <w:right w:val="single" w:sz="5" w:color="000000"/>
            </w:tcBorders>
            <w:textDirection w:val="lrTb"/>
            <w:vAlign w:val="top"/>
          </w:tcPr>
          <w:p>
            <w:pPr>
              <w:pageBreakBefore w:val="false"/>
              <w:spacing w:before="42" w:after="0" w:line="223" w:lineRule="exact"/>
              <w:ind w:right="0" w:left="144"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Joanne Mulder (</w:t>
            </w:r>
            <w:r>
              <w:rPr>
                <w:rFonts w:ascii="Calibri" w:hAnsi="Calibri" w:eastAsia="Calibri"/>
                <w:b w:val="true"/>
                <w:color w:val="000000"/>
                <w:spacing w:val="0"/>
                <w:w w:val="100"/>
                <w:sz w:val="22"/>
                <w:vertAlign w:val="baseline"/>
                <w:lang w:val="en-US"/>
              </w:rPr>
              <w:t xml:space="preserve">DIIS</w:t>
            </w:r>
            <w:r>
              <w:rPr>
                <w:rFonts w:ascii="Calibri" w:hAnsi="Calibri" w:eastAsia="Calibri"/>
                <w:color w:val="000000"/>
                <w:spacing w:val="0"/>
                <w:w w:val="100"/>
                <w:sz w:val="22"/>
                <w:vertAlign w:val="baseline"/>
                <w:lang w:val="en-US"/>
              </w:rPr>
              <w:t xml:space="preserve">)</w:t>
            </w:r>
          </w:p>
          <w:p>
            <w:pPr>
              <w:pageBreakBefore w:val="false"/>
              <w:spacing w:before="41" w:after="0" w:line="223" w:lineRule="exact"/>
              <w:ind w:right="0" w:left="144"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Hank Sciberras </w:t>
            </w:r>
            <w:r>
              <w:rPr>
                <w:rFonts w:ascii="Calibri" w:hAnsi="Calibri" w:eastAsia="Calibri"/>
                <w:b w:val="true"/>
                <w:color w:val="000000"/>
                <w:spacing w:val="0"/>
                <w:w w:val="100"/>
                <w:sz w:val="22"/>
                <w:vertAlign w:val="baseline"/>
                <w:lang w:val="en-US"/>
              </w:rPr>
              <w:t xml:space="preserve">(Deloitte)</w:t>
            </w:r>
          </w:p>
          <w:p>
            <w:pPr>
              <w:pageBreakBefore w:val="false"/>
              <w:spacing w:before="46" w:after="0" w:line="223" w:lineRule="exact"/>
              <w:ind w:right="0" w:left="144"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David Gelb </w:t>
            </w:r>
            <w:r>
              <w:rPr>
                <w:rFonts w:ascii="Calibri" w:hAnsi="Calibri" w:eastAsia="Calibri"/>
                <w:b w:val="true"/>
                <w:color w:val="000000"/>
                <w:spacing w:val="0"/>
                <w:w w:val="100"/>
                <w:sz w:val="22"/>
                <w:vertAlign w:val="baseline"/>
                <w:lang w:val="en-US"/>
              </w:rPr>
              <w:t xml:space="preserve">(KPMG)</w:t>
            </w:r>
          </w:p>
          <w:p>
            <w:pPr>
              <w:pageBreakBefore w:val="false"/>
              <w:spacing w:before="46" w:after="0" w:line="226" w:lineRule="exact"/>
              <w:ind w:right="0" w:left="144"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Evan Widmonte </w:t>
            </w:r>
            <w:r>
              <w:rPr>
                <w:rFonts w:ascii="Calibri" w:hAnsi="Calibri" w:eastAsia="Calibri"/>
                <w:b w:val="true"/>
                <w:color w:val="000000"/>
                <w:spacing w:val="0"/>
                <w:w w:val="100"/>
                <w:sz w:val="22"/>
                <w:vertAlign w:val="baseline"/>
                <w:lang w:val="en-US"/>
              </w:rPr>
              <w:t xml:space="preserve">(Rimon Advisory)</w:t>
            </w:r>
          </w:p>
          <w:p>
            <w:pPr>
              <w:pageBreakBefore w:val="false"/>
              <w:spacing w:before="43" w:after="0" w:line="226" w:lineRule="exact"/>
              <w:ind w:right="0" w:left="144"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Stephen Carroll </w:t>
            </w:r>
            <w:r>
              <w:rPr>
                <w:rFonts w:ascii="Calibri" w:hAnsi="Calibri" w:eastAsia="Calibri"/>
                <w:b w:val="true"/>
                <w:color w:val="000000"/>
                <w:spacing w:val="0"/>
                <w:w w:val="100"/>
                <w:sz w:val="22"/>
                <w:vertAlign w:val="baseline"/>
                <w:lang w:val="en-US"/>
              </w:rPr>
              <w:t xml:space="preserve">(RSM Australia)</w:t>
            </w:r>
          </w:p>
          <w:p>
            <w:pPr>
              <w:pageBreakBefore w:val="false"/>
              <w:spacing w:before="43" w:after="0" w:line="226" w:lineRule="exact"/>
              <w:ind w:right="0" w:left="144"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Paul McMullan </w:t>
            </w:r>
            <w:r>
              <w:rPr>
                <w:rFonts w:ascii="Calibri" w:hAnsi="Calibri" w:eastAsia="Calibri"/>
                <w:b w:val="true"/>
                <w:color w:val="000000"/>
                <w:spacing w:val="0"/>
                <w:w w:val="100"/>
                <w:sz w:val="22"/>
                <w:vertAlign w:val="baseline"/>
                <w:lang w:val="en-US"/>
              </w:rPr>
              <w:t xml:space="preserve">(Compliance Group)</w:t>
            </w:r>
          </w:p>
          <w:p>
            <w:pPr>
              <w:pageBreakBefore w:val="false"/>
              <w:spacing w:before="42" w:after="0" w:line="227" w:lineRule="exact"/>
              <w:ind w:right="0" w:left="144"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Robert Krigsman </w:t>
            </w:r>
            <w:r>
              <w:rPr>
                <w:rFonts w:ascii="Calibri" w:hAnsi="Calibri" w:eastAsia="Calibri"/>
                <w:b w:val="true"/>
                <w:color w:val="000000"/>
                <w:spacing w:val="0"/>
                <w:w w:val="100"/>
                <w:sz w:val="22"/>
                <w:vertAlign w:val="baseline"/>
                <w:lang w:val="en-US"/>
              </w:rPr>
              <w:t xml:space="preserve">(Krigsman Partners)</w:t>
            </w:r>
          </w:p>
          <w:p>
            <w:pPr>
              <w:pageBreakBefore w:val="false"/>
              <w:spacing w:before="42" w:after="0" w:line="226" w:lineRule="exact"/>
              <w:ind w:right="0" w:left="144"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Peter Nolle </w:t>
            </w:r>
            <w:r>
              <w:rPr>
                <w:rFonts w:ascii="Calibri" w:hAnsi="Calibri" w:eastAsia="Calibri"/>
                <w:b w:val="true"/>
                <w:color w:val="000000"/>
                <w:spacing w:val="0"/>
                <w:w w:val="100"/>
                <w:sz w:val="22"/>
                <w:vertAlign w:val="baseline"/>
                <w:lang w:val="en-US"/>
              </w:rPr>
              <w:t xml:space="preserve">(Australian Information Industry Association)</w:t>
            </w:r>
          </w:p>
          <w:p>
            <w:pPr>
              <w:pageBreakBefore w:val="false"/>
              <w:spacing w:before="43" w:after="0" w:line="223" w:lineRule="exact"/>
              <w:ind w:right="0" w:left="144"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Melanie Reen </w:t>
            </w:r>
            <w:r>
              <w:rPr>
                <w:rFonts w:ascii="Calibri" w:hAnsi="Calibri" w:eastAsia="Calibri"/>
                <w:b w:val="true"/>
                <w:color w:val="000000"/>
                <w:spacing w:val="0"/>
                <w:w w:val="100"/>
                <w:sz w:val="22"/>
                <w:vertAlign w:val="baseline"/>
                <w:lang w:val="en-US"/>
              </w:rPr>
              <w:t xml:space="preserve">(Michael Johnson Associates)</w:t>
            </w:r>
          </w:p>
          <w:p>
            <w:pPr>
              <w:pageBreakBefore w:val="false"/>
              <w:spacing w:before="46" w:after="3" w:line="223" w:lineRule="exact"/>
              <w:ind w:right="0" w:left="144"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Sue Williamson (</w:t>
            </w:r>
            <w:r>
              <w:rPr>
                <w:rFonts w:ascii="Calibri" w:hAnsi="Calibri" w:eastAsia="Calibri"/>
                <w:b w:val="true"/>
                <w:color w:val="000000"/>
                <w:spacing w:val="0"/>
                <w:w w:val="100"/>
                <w:sz w:val="22"/>
                <w:vertAlign w:val="baseline"/>
                <w:lang w:val="en-US"/>
              </w:rPr>
              <w:t xml:space="preserve">Law Council of Australia)</w:t>
            </w:r>
          </w:p>
        </w:tc>
      </w:tr>
      <w:tr>
        <w:trPr>
          <w:trHeight w:val="811" w:hRule="exact"/>
        </w:trPr>
        <w:tc>
          <w:tcPr>
            <w:tcW w:w="1862"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8" w:after="542" w:line="226" w:lineRule="exact"/>
              <w:ind w:right="0" w:left="115"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Apologies</w:t>
            </w:r>
          </w:p>
        </w:tc>
        <w:tc>
          <w:tcPr>
            <w:tcW w:w="9192" w:type="auto"/>
            <w:gridSpan w:val="3"/>
            <w:tcBorders>
              <w:top w:val="single" w:sz="5" w:color="000000"/>
              <w:left w:val="single" w:sz="5" w:color="000000"/>
              <w:bottom w:val="single" w:sz="5" w:color="000000"/>
              <w:right w:val="single" w:sz="5" w:color="000000"/>
            </w:tcBorders>
            <w:textDirection w:val="lrTb"/>
            <w:vAlign w:val="top"/>
          </w:tcPr>
          <w:p>
            <w:pPr>
              <w:pageBreakBefore w:val="false"/>
              <w:spacing w:before="0" w:after="4" w:line="267" w:lineRule="exact"/>
              <w:ind w:right="0" w:left="108"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Alex McCauley </w:t>
            </w:r>
            <w:r>
              <w:rPr>
                <w:rFonts w:ascii="Calibri" w:hAnsi="Calibri" w:eastAsia="Calibri"/>
                <w:b w:val="true"/>
                <w:color w:val="000000"/>
                <w:spacing w:val="0"/>
                <w:w w:val="100"/>
                <w:sz w:val="22"/>
                <w:vertAlign w:val="baseline"/>
                <w:lang w:val="en-US"/>
              </w:rPr>
              <w:t xml:space="preserve">(StartupAus)</w:t>
              <w:br/>
            </w:r>
            <w:r>
              <w:rPr>
                <w:rFonts w:ascii="Calibri" w:hAnsi="Calibri" w:eastAsia="Calibri"/>
                <w:color w:val="000000"/>
                <w:spacing w:val="0"/>
                <w:w w:val="100"/>
                <w:sz w:val="22"/>
                <w:vertAlign w:val="baseline"/>
                <w:lang w:val="en-US"/>
              </w:rPr>
              <w:t xml:space="preserve">James Orr (</w:t>
            </w:r>
            <w:r>
              <w:rPr>
                <w:rFonts w:ascii="Calibri" w:hAnsi="Calibri" w:eastAsia="Calibri"/>
                <w:b w:val="true"/>
                <w:color w:val="000000"/>
                <w:spacing w:val="0"/>
                <w:w w:val="100"/>
                <w:sz w:val="22"/>
                <w:vertAlign w:val="baseline"/>
                <w:lang w:val="en-US"/>
              </w:rPr>
              <w:t xml:space="preserve">CBG Sytems)</w:t>
              <w:br/>
            </w:r>
            <w:r>
              <w:rPr>
                <w:rFonts w:ascii="Calibri" w:hAnsi="Calibri" w:eastAsia="Calibri"/>
                <w:color w:val="000000"/>
                <w:spacing w:val="0"/>
                <w:w w:val="100"/>
                <w:sz w:val="22"/>
                <w:vertAlign w:val="baseline"/>
                <w:lang w:val="en-US"/>
              </w:rPr>
              <w:t xml:space="preserve">Wayne Calder (</w:t>
            </w:r>
            <w:r>
              <w:rPr>
                <w:rFonts w:ascii="Calibri" w:hAnsi="Calibri" w:eastAsia="Calibri"/>
                <w:b w:val="true"/>
                <w:color w:val="000000"/>
                <w:spacing w:val="0"/>
                <w:w w:val="100"/>
                <w:sz w:val="22"/>
                <w:vertAlign w:val="baseline"/>
                <w:lang w:val="en-US"/>
              </w:rPr>
              <w:t xml:space="preserve">DIIS</w:t>
            </w:r>
            <w:r>
              <w:rPr>
                <w:rFonts w:ascii="Calibri" w:hAnsi="Calibri" w:eastAsia="Calibri"/>
                <w:color w:val="000000"/>
                <w:spacing w:val="0"/>
                <w:w w:val="100"/>
                <w:sz w:val="22"/>
                <w:vertAlign w:val="baseline"/>
                <w:lang w:val="en-US"/>
              </w:rPr>
              <w:t xml:space="preserve">)</w:t>
            </w:r>
          </w:p>
        </w:tc>
      </w:tr>
      <w:tr>
        <w:trPr>
          <w:trHeight w:val="293" w:hRule="exact"/>
        </w:trPr>
        <w:tc>
          <w:tcPr>
            <w:tcW w:w="186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43" w:after="14" w:line="226" w:lineRule="exact"/>
              <w:ind w:right="0" w:left="115"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Guest Speakers</w:t>
            </w:r>
          </w:p>
        </w:tc>
        <w:tc>
          <w:tcPr>
            <w:tcW w:w="9192" w:type="auto"/>
            <w:gridSpan w:val="3"/>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color w:val="000000"/>
                <w:w w:val="100"/>
                <w:sz w:val="24"/>
                <w:vertAlign w:val="baseline"/>
                <w:lang w:val="en-US"/>
              </w:rPr>
            </w:pPr>
            <w:r>
              <w:rPr>
                <w:rFonts w:ascii="Arial" w:hAnsi="Arial" w:eastAsia="Arial"/>
                <w:color w:val="000000"/>
                <w:w w:val="100"/>
                <w:sz w:val="24"/>
                <w:vertAlign w:val="baseline"/>
                <w:lang w:val="en-US"/>
              </w:rPr>
              <w:t xml:space="preserve">
</w:t>
            </w:r>
          </w:p>
        </w:tc>
      </w:tr>
    </w:tbl>
    <w:p>
      <w:pPr>
        <w:spacing w:before="0" w:after="859" w:line="20" w:lineRule="exact"/>
      </w:pPr>
    </w:p>
    <w:tbl>
      <w:tblPr>
        <w:jc w:val="left"/>
        <w:tblInd w:w="14" w:type="dxa"/>
        <w:tblLayout w:type="fixed"/>
        <w:tblCellMar>
          <w:left w:w="0" w:type="dxa"/>
          <w:right w:w="0" w:type="dxa"/>
        </w:tblCellMar>
      </w:tblPr>
      <w:tblGrid>
        <w:gridCol w:w="4541"/>
        <w:gridCol w:w="2553"/>
        <w:gridCol w:w="2084"/>
      </w:tblGrid>
      <w:tr>
        <w:trPr>
          <w:trHeight w:val="370" w:hRule="exact"/>
        </w:trPr>
        <w:tc>
          <w:tcPr>
            <w:tcW w:w="4555" w:type="auto"/>
            <w:gridSpan w:val="1"/>
            <w:tcBorders>
              <w:top w:val="single" w:sz="5" w:color="000000"/>
              <w:left w:val="single" w:sz="5" w:color="000000"/>
              <w:bottom w:val="single" w:sz="5" w:color="000000"/>
              <w:right w:val="single" w:sz="5" w:color="000000"/>
            </w:tcBorders>
            <w:shd w:val="clear" w:color="9CC2E4" w:fill="9CC2E4"/>
            <w:textDirection w:val="lrTb"/>
            <w:vAlign w:val="center"/>
          </w:tcPr>
          <w:p>
            <w:pPr>
              <w:pageBreakBefore w:val="false"/>
              <w:spacing w:before="48" w:after="72" w:line="245" w:lineRule="exact"/>
              <w:ind w:right="0" w:left="115" w:firstLine="0"/>
              <w:jc w:val="left"/>
              <w:textAlignment w:val="baseline"/>
              <w:rPr>
                <w:rFonts w:ascii="Calibri" w:hAnsi="Calibri" w:eastAsia="Calibri"/>
                <w:b w:val="true"/>
                <w:color w:val="000000"/>
                <w:spacing w:val="0"/>
                <w:w w:val="100"/>
                <w:sz w:val="24"/>
                <w:vertAlign w:val="baseline"/>
                <w:lang w:val="en-US"/>
              </w:rPr>
            </w:pPr>
            <w:r>
              <w:rPr>
                <w:rFonts w:ascii="Calibri" w:hAnsi="Calibri" w:eastAsia="Calibri"/>
                <w:b w:val="true"/>
                <w:color w:val="000000"/>
                <w:spacing w:val="0"/>
                <w:w w:val="100"/>
                <w:sz w:val="24"/>
                <w:vertAlign w:val="baseline"/>
                <w:lang w:val="en-US"/>
              </w:rPr>
              <w:t xml:space="preserve">Agenda Items</w:t>
            </w:r>
          </w:p>
        </w:tc>
        <w:tc>
          <w:tcPr>
            <w:tcW w:w="7108" w:type="auto"/>
            <w:gridSpan w:val="1"/>
            <w:tcBorders>
              <w:top w:val="single" w:sz="5" w:color="000000"/>
              <w:left w:val="single" w:sz="5" w:color="000000"/>
              <w:bottom w:val="single" w:sz="5" w:color="000000"/>
              <w:right w:val="single" w:sz="5" w:color="000000"/>
            </w:tcBorders>
            <w:shd w:val="clear" w:color="9CC2E4" w:fill="9CC2E4"/>
            <w:textDirection w:val="lrTb"/>
            <w:vAlign w:val="center"/>
          </w:tcPr>
          <w:p>
            <w:pPr>
              <w:pageBreakBefore w:val="false"/>
              <w:spacing w:before="48" w:after="72" w:line="245" w:lineRule="exact"/>
              <w:ind w:right="0" w:left="110" w:firstLine="0"/>
              <w:jc w:val="left"/>
              <w:textAlignment w:val="baseline"/>
              <w:rPr>
                <w:rFonts w:ascii="Calibri" w:hAnsi="Calibri" w:eastAsia="Calibri"/>
                <w:b w:val="true"/>
                <w:color w:val="000000"/>
                <w:spacing w:val="0"/>
                <w:w w:val="100"/>
                <w:sz w:val="24"/>
                <w:vertAlign w:val="baseline"/>
                <w:lang w:val="en-US"/>
              </w:rPr>
            </w:pPr>
            <w:r>
              <w:rPr>
                <w:rFonts w:ascii="Calibri" w:hAnsi="Calibri" w:eastAsia="Calibri"/>
                <w:b w:val="true"/>
                <w:color w:val="000000"/>
                <w:spacing w:val="0"/>
                <w:w w:val="100"/>
                <w:sz w:val="24"/>
                <w:vertAlign w:val="baseline"/>
                <w:lang w:val="en-US"/>
              </w:rPr>
              <w:t xml:space="preserve">Presenter(s)</w:t>
            </w:r>
          </w:p>
        </w:tc>
        <w:tc>
          <w:tcPr>
            <w:tcW w:w="9192" w:type="auto"/>
            <w:gridSpan w:val="1"/>
            <w:tcBorders>
              <w:top w:val="single" w:sz="5" w:color="000000"/>
              <w:left w:val="single" w:sz="5" w:color="000000"/>
              <w:bottom w:val="single" w:sz="5" w:color="000000"/>
              <w:right w:val="single" w:sz="5" w:color="000000"/>
            </w:tcBorders>
            <w:shd w:val="clear" w:color="9CC2E4" w:fill="9CC2E4"/>
            <w:textDirection w:val="lrTb"/>
            <w:vAlign w:val="center"/>
          </w:tcPr>
          <w:p>
            <w:pPr>
              <w:pageBreakBefore w:val="false"/>
              <w:spacing w:before="48" w:after="72" w:line="245" w:lineRule="exact"/>
              <w:ind w:right="0" w:left="111" w:firstLine="0"/>
              <w:jc w:val="left"/>
              <w:textAlignment w:val="baseline"/>
              <w:rPr>
                <w:rFonts w:ascii="Calibri" w:hAnsi="Calibri" w:eastAsia="Calibri"/>
                <w:b w:val="true"/>
                <w:color w:val="000000"/>
                <w:spacing w:val="0"/>
                <w:w w:val="100"/>
                <w:sz w:val="24"/>
                <w:vertAlign w:val="baseline"/>
                <w:lang w:val="en-US"/>
              </w:rPr>
            </w:pPr>
            <w:r>
              <w:rPr>
                <w:rFonts w:ascii="Calibri" w:hAnsi="Calibri" w:eastAsia="Calibri"/>
                <w:b w:val="true"/>
                <w:color w:val="000000"/>
                <w:spacing w:val="0"/>
                <w:w w:val="100"/>
                <w:sz w:val="24"/>
                <w:vertAlign w:val="baseline"/>
                <w:lang w:val="en-US"/>
              </w:rPr>
              <w:t xml:space="preserve">Chair</w:t>
            </w:r>
          </w:p>
        </w:tc>
      </w:tr>
      <w:tr>
        <w:trPr>
          <w:trHeight w:val="667" w:hRule="exact"/>
        </w:trPr>
        <w:tc>
          <w:tcPr>
            <w:tcW w:w="4555"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1"/>
              </w:numPr>
              <w:tabs>
                <w:tab w:val="clear" w:pos="288"/>
                <w:tab w:val="left" w:pos="432"/>
              </w:tabs>
              <w:spacing w:before="38" w:after="0" w:line="223" w:lineRule="exact"/>
              <w:ind w:right="0" w:left="144"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Welcome</w:t>
            </w:r>
          </w:p>
          <w:p>
            <w:pPr>
              <w:pageBreakBefore w:val="false"/>
              <w:spacing w:before="98" w:after="59" w:line="239" w:lineRule="exact"/>
              <w:ind w:right="629" w:left="0" w:firstLine="0"/>
              <w:jc w:val="right"/>
              <w:textAlignment w:val="baseline"/>
              <w:rPr>
                <w:rFonts w:ascii="Arial" w:hAnsi="Arial" w:eastAsia="Arial"/>
                <w:b w:val="true"/>
                <w:color w:val="000000"/>
                <w:spacing w:val="0"/>
                <w:w w:val="100"/>
                <w:sz w:val="20"/>
                <w:vertAlign w:val="baseline"/>
                <w:lang w:val="en-US"/>
              </w:rPr>
            </w:pPr>
            <w:r>
              <w:rPr>
                <w:rFonts w:ascii="Arial" w:hAnsi="Arial" w:eastAsia="Arial"/>
                <w:b w:val="true"/>
                <w:color w:val="000000"/>
                <w:spacing w:val="0"/>
                <w:w w:val="100"/>
                <w:sz w:val="20"/>
                <w:vertAlign w:val="baseline"/>
                <w:lang w:val="en-US"/>
              </w:rPr>
              <w:t xml:space="preserve">1.1. </w:t>
            </w:r>
            <w:r>
              <w:rPr>
                <w:rFonts w:ascii="Calibri" w:hAnsi="Calibri" w:eastAsia="Calibri"/>
                <w:color w:val="000000"/>
                <w:spacing w:val="0"/>
                <w:w w:val="100"/>
                <w:sz w:val="22"/>
                <w:vertAlign w:val="baseline"/>
                <w:lang w:val="en-US"/>
              </w:rPr>
              <w:t xml:space="preserve">Action Items from July Roundtable</w:t>
            </w:r>
          </w:p>
        </w:tc>
        <w:tc>
          <w:tcPr>
            <w:tcW w:w="710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00" w:line="268" w:lineRule="exact"/>
              <w:ind w:right="0" w:left="108"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Joanne Mulder (DIIS) / Scott Treatt (ATO)</w:t>
            </w:r>
          </w:p>
        </w:tc>
        <w:tc>
          <w:tcPr>
            <w:tcW w:w="919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201" w:after="234" w:line="222" w:lineRule="exact"/>
              <w:ind w:right="0" w:left="111"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Lorraine Chiroiu</w:t>
            </w:r>
          </w:p>
        </w:tc>
      </w:tr>
      <w:tr>
        <w:trPr>
          <w:trHeight w:val="667" w:hRule="exact"/>
        </w:trPr>
        <w:tc>
          <w:tcPr>
            <w:tcW w:w="4555"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2"/>
              </w:numPr>
              <w:tabs>
                <w:tab w:val="clear" w:pos="360"/>
                <w:tab w:val="left" w:pos="504"/>
              </w:tabs>
              <w:spacing w:before="0" w:after="54" w:line="299" w:lineRule="exact"/>
              <w:ind w:right="252" w:left="504" w:hanging="360"/>
              <w:jc w:val="left"/>
              <w:textAlignment w:val="baseline"/>
              <w:rPr>
                <w:rFonts w:ascii="Calibri" w:hAnsi="Calibri" w:eastAsia="Calibri"/>
                <w:b w:val="true"/>
                <w:color w:val="000000"/>
                <w:spacing w:val="-2"/>
                <w:w w:val="100"/>
                <w:sz w:val="22"/>
                <w:vertAlign w:val="baseline"/>
                <w:lang w:val="en-US"/>
              </w:rPr>
            </w:pPr>
            <w:r>
              <w:rPr>
                <w:rFonts w:ascii="Calibri" w:hAnsi="Calibri" w:eastAsia="Calibri"/>
                <w:b w:val="true"/>
                <w:color w:val="000000"/>
                <w:spacing w:val="-2"/>
                <w:w w:val="100"/>
                <w:sz w:val="22"/>
                <w:vertAlign w:val="baseline"/>
                <w:lang w:val="en-US"/>
              </w:rPr>
              <w:t xml:space="preserve">Update on State Reference Groups (SRGs) </w:t>
            </w:r>
            <w:r>
              <w:rPr>
                <w:rFonts w:ascii="Arial" w:hAnsi="Arial" w:eastAsia="Arial"/>
                <w:b w:val="true"/>
                <w:color w:val="000000"/>
                <w:spacing w:val="-2"/>
                <w:w w:val="100"/>
                <w:sz w:val="20"/>
                <w:vertAlign w:val="baseline"/>
                <w:lang w:val="en-US"/>
              </w:rPr>
              <w:t xml:space="preserve">2.1. </w:t>
            </w:r>
            <w:r>
              <w:rPr>
                <w:rFonts w:ascii="Calibri" w:hAnsi="Calibri" w:eastAsia="Calibri"/>
                <w:color w:val="000000"/>
                <w:spacing w:val="-2"/>
                <w:w w:val="100"/>
                <w:sz w:val="22"/>
                <w:vertAlign w:val="baseline"/>
                <w:lang w:val="en-US"/>
              </w:rPr>
              <w:t xml:space="preserve">Overview of consultation feedback</w:t>
            </w:r>
          </w:p>
        </w:tc>
        <w:tc>
          <w:tcPr>
            <w:tcW w:w="7108"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201" w:after="229" w:line="222" w:lineRule="exact"/>
              <w:ind w:right="0" w:left="110"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DIIS</w:t>
            </w:r>
          </w:p>
        </w:tc>
        <w:tc>
          <w:tcPr>
            <w:tcW w:w="919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201" w:after="229" w:line="222" w:lineRule="exact"/>
              <w:ind w:right="0" w:left="111"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Scott Treatt</w:t>
            </w:r>
          </w:p>
        </w:tc>
      </w:tr>
      <w:tr>
        <w:trPr>
          <w:trHeight w:val="576" w:hRule="exact"/>
        </w:trPr>
        <w:tc>
          <w:tcPr>
            <w:tcW w:w="4555" w:type="auto"/>
            <w:gridSpan w:val="1"/>
            <w:tcBorders>
              <w:top w:val="single" w:sz="5" w:color="000000"/>
              <w:left w:val="single" w:sz="5" w:color="000000"/>
              <w:bottom w:val="single" w:sz="5" w:color="000000"/>
              <w:right w:val="single" w:sz="5" w:color="000000"/>
            </w:tcBorders>
            <w:textDirection w:val="lrTb"/>
            <w:vAlign w:val="center"/>
          </w:tcPr>
          <w:p>
            <w:pPr>
              <w:pageBreakBefore w:val="false"/>
              <w:numPr>
                <w:ilvl w:val="0"/>
                <w:numId w:val="1"/>
              </w:numPr>
              <w:tabs>
                <w:tab w:val="clear" w:pos="288"/>
                <w:tab w:val="left" w:pos="432"/>
              </w:tabs>
              <w:spacing w:before="153" w:after="182" w:line="226" w:lineRule="exact"/>
              <w:ind w:right="0" w:left="144"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R&amp;D Tax Incentive Facts and Figures</w:t>
            </w:r>
          </w:p>
        </w:tc>
        <w:tc>
          <w:tcPr>
            <w:tcW w:w="7108"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153" w:after="186" w:line="222" w:lineRule="exact"/>
              <w:ind w:right="0" w:left="110"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DIIS / ATO</w:t>
            </w:r>
          </w:p>
        </w:tc>
        <w:tc>
          <w:tcPr>
            <w:tcW w:w="919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153" w:after="186" w:line="222" w:lineRule="exact"/>
              <w:ind w:right="0" w:left="111"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Lorraine Chiroiu</w:t>
            </w:r>
          </w:p>
        </w:tc>
      </w:tr>
      <w:tr>
        <w:trPr>
          <w:trHeight w:val="336" w:hRule="exact"/>
        </w:trPr>
        <w:tc>
          <w:tcPr>
            <w:tcW w:w="4555" w:type="auto"/>
            <w:gridSpan w:val="1"/>
            <w:tcBorders>
              <w:top w:val="single" w:sz="5" w:color="000000"/>
              <w:left w:val="single" w:sz="5" w:color="000000"/>
              <w:bottom w:val="single" w:sz="5" w:color="000000"/>
              <w:right w:val="single" w:sz="5" w:color="000000"/>
            </w:tcBorders>
            <w:textDirection w:val="lrTb"/>
            <w:vAlign w:val="center"/>
          </w:tcPr>
          <w:p>
            <w:pPr>
              <w:pageBreakBefore w:val="false"/>
              <w:numPr>
                <w:ilvl w:val="0"/>
                <w:numId w:val="1"/>
              </w:numPr>
              <w:tabs>
                <w:tab w:val="clear" w:pos="288"/>
                <w:tab w:val="left" w:pos="432"/>
              </w:tabs>
              <w:spacing w:before="38" w:after="67" w:line="226" w:lineRule="exact"/>
              <w:ind w:right="0" w:left="144"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Program Updates</w:t>
            </w:r>
          </w:p>
        </w:tc>
        <w:tc>
          <w:tcPr>
            <w:tcW w:w="7108"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38" w:after="71" w:line="222" w:lineRule="exact"/>
              <w:ind w:right="0" w:left="110"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DIIS / ATO</w:t>
            </w:r>
          </w:p>
        </w:tc>
        <w:tc>
          <w:tcPr>
            <w:tcW w:w="919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38" w:after="71" w:line="222" w:lineRule="exact"/>
              <w:ind w:right="0" w:left="111"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Scott Treatt</w:t>
            </w:r>
          </w:p>
        </w:tc>
      </w:tr>
      <w:tr>
        <w:trPr>
          <w:trHeight w:val="610" w:hRule="exact"/>
        </w:trPr>
        <w:tc>
          <w:tcPr>
            <w:tcW w:w="4555" w:type="auto"/>
            <w:gridSpan w:val="1"/>
            <w:tcBorders>
              <w:top w:val="single" w:sz="5" w:color="000000"/>
              <w:left w:val="single" w:sz="5" w:color="000000"/>
              <w:bottom w:val="single" w:sz="5" w:color="000000"/>
              <w:right w:val="single" w:sz="5" w:color="000000"/>
            </w:tcBorders>
            <w:textDirection w:val="lrTb"/>
            <w:vAlign w:val="center"/>
          </w:tcPr>
          <w:p>
            <w:pPr>
              <w:pageBreakBefore w:val="false"/>
              <w:numPr>
                <w:ilvl w:val="0"/>
                <w:numId w:val="1"/>
              </w:numPr>
              <w:tabs>
                <w:tab w:val="clear" w:pos="288"/>
                <w:tab w:val="left" w:pos="432"/>
              </w:tabs>
              <w:spacing w:before="172" w:after="205" w:line="223" w:lineRule="exact"/>
              <w:ind w:right="0" w:left="144"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Year in Review and the Year Ahead</w:t>
            </w:r>
          </w:p>
        </w:tc>
        <w:tc>
          <w:tcPr>
            <w:tcW w:w="710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71" w:line="264" w:lineRule="exact"/>
              <w:ind w:right="0" w:left="108"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Joanne Mulder (DIIS) / Scott Treatt (ATO)</w:t>
            </w:r>
          </w:p>
        </w:tc>
        <w:tc>
          <w:tcPr>
            <w:tcW w:w="919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172" w:after="206" w:line="222" w:lineRule="exact"/>
              <w:ind w:right="0" w:left="111"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Lorraine Chiroiu</w:t>
            </w:r>
          </w:p>
        </w:tc>
      </w:tr>
      <w:tr>
        <w:trPr>
          <w:trHeight w:val="604" w:hRule="exact"/>
        </w:trPr>
        <w:tc>
          <w:tcPr>
            <w:tcW w:w="4555" w:type="auto"/>
            <w:gridSpan w:val="1"/>
            <w:tcBorders>
              <w:top w:val="single" w:sz="5" w:color="000000"/>
              <w:left w:val="single" w:sz="5" w:color="000000"/>
              <w:bottom w:val="single" w:sz="5" w:color="000000"/>
              <w:right w:val="single" w:sz="5" w:color="000000"/>
            </w:tcBorders>
            <w:textDirection w:val="lrTb"/>
            <w:vAlign w:val="center"/>
          </w:tcPr>
          <w:p>
            <w:pPr>
              <w:pageBreakBefore w:val="false"/>
              <w:numPr>
                <w:ilvl w:val="0"/>
                <w:numId w:val="1"/>
              </w:numPr>
              <w:tabs>
                <w:tab w:val="clear" w:pos="288"/>
                <w:tab w:val="left" w:pos="432"/>
              </w:tabs>
              <w:spacing w:before="172" w:after="197" w:line="226" w:lineRule="exact"/>
              <w:ind w:right="0" w:left="144"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Any outstanding items and close</w:t>
            </w:r>
          </w:p>
        </w:tc>
        <w:tc>
          <w:tcPr>
            <w:tcW w:w="710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67" w:line="264" w:lineRule="exact"/>
              <w:ind w:right="0" w:left="108"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Joanne Mulder (DIIS) / Scott Treatt (ATO)</w:t>
            </w:r>
          </w:p>
        </w:tc>
        <w:tc>
          <w:tcPr>
            <w:tcW w:w="919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172" w:after="201" w:line="222" w:lineRule="exact"/>
              <w:ind w:right="0" w:left="111"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Scott Treatt</w:t>
            </w:r>
          </w:p>
        </w:tc>
      </w:tr>
      <w:tr>
        <w:trPr>
          <w:trHeight w:val="313" w:hRule="exact"/>
        </w:trPr>
        <w:tc>
          <w:tcPr>
            <w:tcW w:w="9192" w:type="auto"/>
            <w:gridSpan w:val="3"/>
            <w:tcBorders>
              <w:top w:val="single" w:sz="5" w:color="000000"/>
              <w:left w:val="single" w:sz="5" w:color="000000"/>
              <w:bottom w:val="single" w:sz="5" w:color="000000"/>
              <w:right w:val="single" w:sz="5" w:color="000000"/>
            </w:tcBorders>
            <w:shd w:val="clear" w:color="F1F1F1" w:fill="F1F1F1"/>
            <w:textDirection w:val="lrTb"/>
            <w:vAlign w:val="center"/>
          </w:tcPr>
          <w:p>
            <w:pPr>
              <w:pageBreakBefore w:val="false"/>
              <w:spacing w:before="0" w:after="59" w:line="231" w:lineRule="exact"/>
              <w:ind w:right="3869" w:left="0" w:firstLine="0"/>
              <w:jc w:val="right"/>
              <w:textAlignment w:val="baseline"/>
              <w:rPr>
                <w:rFonts w:ascii="Arial" w:hAnsi="Arial" w:eastAsia="Arial"/>
                <w:b w:val="true"/>
                <w:color w:val="000000"/>
                <w:spacing w:val="0"/>
                <w:w w:val="100"/>
                <w:sz w:val="20"/>
                <w:vertAlign w:val="baseline"/>
                <w:lang w:val="en-US"/>
              </w:rPr>
            </w:pPr>
            <w:r>
              <w:rPr>
                <w:rFonts w:ascii="Arial" w:hAnsi="Arial" w:eastAsia="Arial"/>
                <w:b w:val="true"/>
                <w:color w:val="000000"/>
                <w:spacing w:val="0"/>
                <w:w w:val="100"/>
                <w:sz w:val="20"/>
                <w:vertAlign w:val="baseline"/>
                <w:lang w:val="en-US"/>
              </w:rPr>
              <w:t xml:space="preserve">Meeting Close</w:t>
            </w:r>
          </w:p>
        </w:tc>
      </w:tr>
    </w:tbl>
    <w:p>
      <w:pPr>
        <w:sectPr>
          <w:type w:val="nextPage"/>
          <w:pgSz w:w="11909" w:h="16838" w:orient="portrait"/>
          <w:pgMar w:bottom="3782" w:top="360" w:right="1432" w:left="1277" w:header="720" w:footer="720"/>
          <w:titlePg w:val="false"/>
          <w:textDirection w:val="lrTb"/>
        </w:sectPr>
      </w:pPr>
    </w:p>
    <w:tbl>
      <w:tblPr>
        <w:jc w:val="left"/>
        <w:tblInd w:w="28" w:type="dxa"/>
        <w:tblLayout w:type="fixed"/>
        <w:tblCellMar>
          <w:left w:w="0" w:type="dxa"/>
          <w:right w:w="0" w:type="dxa"/>
        </w:tblCellMar>
      </w:tblPr>
      <w:tblGrid>
        <w:gridCol w:w="4790"/>
        <w:gridCol w:w="1503"/>
        <w:gridCol w:w="1536"/>
        <w:gridCol w:w="1315"/>
      </w:tblGrid>
      <w:tr>
        <w:trPr>
          <w:trHeight w:val="307" w:hRule="exact"/>
        </w:trPr>
        <w:tc>
          <w:tcPr>
            <w:tcW w:w="4818" w:type="auto"/>
            <w:gridSpan w:val="1"/>
            <w:tcBorders>
              <w:top w:val="single" w:sz="5" w:color="000000"/>
              <w:left w:val="single" w:sz="5" w:color="000000"/>
              <w:bottom w:val="single" w:sz="5" w:color="000000"/>
              <w:right w:val="single" w:sz="5" w:color="000000"/>
            </w:tcBorders>
            <w:shd w:val="clear" w:color="9CC2E4" w:fill="9CC2E4"/>
            <w:textDirection w:val="lrTb"/>
            <w:vAlign w:val="center"/>
          </w:tcPr>
          <w:p>
            <w:pPr>
              <w:pageBreakBefore w:val="false"/>
              <w:spacing w:before="38" w:after="19" w:line="245" w:lineRule="exact"/>
              <w:ind w:right="0" w:left="115" w:firstLine="0"/>
              <w:jc w:val="left"/>
              <w:textAlignment w:val="baseline"/>
              <w:rPr>
                <w:rFonts w:ascii="Calibri" w:hAnsi="Calibri" w:eastAsia="Calibri"/>
                <w:b w:val="true"/>
                <w:color w:val="000000"/>
                <w:spacing w:val="0"/>
                <w:w w:val="100"/>
                <w:sz w:val="24"/>
                <w:vertAlign w:val="baseline"/>
                <w:lang w:val="en-US"/>
              </w:rPr>
            </w:pPr>
            <w:r>
              <w:rPr>
                <w:rFonts w:ascii="Calibri" w:hAnsi="Calibri" w:eastAsia="Calibri"/>
                <w:b w:val="true"/>
                <w:color w:val="000000"/>
                <w:spacing w:val="0"/>
                <w:w w:val="100"/>
                <w:sz w:val="24"/>
                <w:vertAlign w:val="baseline"/>
                <w:lang w:val="en-US"/>
              </w:rPr>
              <w:t xml:space="preserve">Action Items</w:t>
            </w:r>
          </w:p>
        </w:tc>
        <w:tc>
          <w:tcPr>
            <w:tcW w:w="6321" w:type="auto"/>
            <w:gridSpan w:val="1"/>
            <w:tcBorders>
              <w:top w:val="single" w:sz="5" w:color="000000"/>
              <w:left w:val="single" w:sz="5" w:color="000000"/>
              <w:bottom w:val="single" w:sz="5" w:color="000000"/>
              <w:right w:val="single" w:sz="5" w:color="000000"/>
            </w:tcBorders>
            <w:shd w:val="clear" w:color="9CC2E4" w:fill="9CC2E4"/>
            <w:textDirection w:val="lrTb"/>
            <w:vAlign w:val="center"/>
          </w:tcPr>
          <w:p>
            <w:pPr>
              <w:pageBreakBefore w:val="false"/>
              <w:spacing w:before="38" w:after="19" w:line="245" w:lineRule="exact"/>
              <w:ind w:right="0" w:left="111" w:firstLine="0"/>
              <w:jc w:val="left"/>
              <w:textAlignment w:val="baseline"/>
              <w:rPr>
                <w:rFonts w:ascii="Calibri" w:hAnsi="Calibri" w:eastAsia="Calibri"/>
                <w:b w:val="true"/>
                <w:color w:val="000000"/>
                <w:spacing w:val="0"/>
                <w:w w:val="100"/>
                <w:sz w:val="24"/>
                <w:vertAlign w:val="baseline"/>
                <w:lang w:val="en-US"/>
              </w:rPr>
            </w:pPr>
            <w:r>
              <w:rPr>
                <w:rFonts w:ascii="Calibri" w:hAnsi="Calibri" w:eastAsia="Calibri"/>
                <w:b w:val="true"/>
                <w:color w:val="000000"/>
                <w:spacing w:val="0"/>
                <w:w w:val="100"/>
                <w:sz w:val="24"/>
                <w:vertAlign w:val="baseline"/>
                <w:lang w:val="en-US"/>
              </w:rPr>
              <w:t xml:space="preserve">Ownership</w:t>
            </w:r>
          </w:p>
        </w:tc>
        <w:tc>
          <w:tcPr>
            <w:tcW w:w="7857" w:type="auto"/>
            <w:gridSpan w:val="1"/>
            <w:tcBorders>
              <w:top w:val="single" w:sz="5" w:color="000000"/>
              <w:left w:val="single" w:sz="5" w:color="000000"/>
              <w:bottom w:val="single" w:sz="5" w:color="000000"/>
              <w:right w:val="single" w:sz="5" w:color="000000"/>
            </w:tcBorders>
            <w:shd w:val="clear" w:color="9CC2E4" w:fill="9CC2E4"/>
            <w:textDirection w:val="lrTb"/>
            <w:vAlign w:val="center"/>
          </w:tcPr>
          <w:p>
            <w:pPr>
              <w:pageBreakBefore w:val="false"/>
              <w:spacing w:before="38" w:after="19" w:line="245" w:lineRule="exact"/>
              <w:ind w:right="0" w:left="110" w:firstLine="0"/>
              <w:jc w:val="left"/>
              <w:textAlignment w:val="baseline"/>
              <w:rPr>
                <w:rFonts w:ascii="Calibri" w:hAnsi="Calibri" w:eastAsia="Calibri"/>
                <w:b w:val="true"/>
                <w:color w:val="000000"/>
                <w:spacing w:val="0"/>
                <w:w w:val="100"/>
                <w:sz w:val="24"/>
                <w:vertAlign w:val="baseline"/>
                <w:lang w:val="en-US"/>
              </w:rPr>
            </w:pPr>
            <w:r>
              <w:rPr>
                <w:rFonts w:ascii="Calibri" w:hAnsi="Calibri" w:eastAsia="Calibri"/>
                <w:b w:val="true"/>
                <w:color w:val="000000"/>
                <w:spacing w:val="0"/>
                <w:w w:val="100"/>
                <w:sz w:val="24"/>
                <w:vertAlign w:val="baseline"/>
                <w:lang w:val="en-US"/>
              </w:rPr>
              <w:t xml:space="preserve">Due Date</w:t>
            </w:r>
          </w:p>
        </w:tc>
        <w:tc>
          <w:tcPr>
            <w:tcW w:w="9172" w:type="auto"/>
            <w:gridSpan w:val="1"/>
            <w:tcBorders>
              <w:top w:val="single" w:sz="5" w:color="000000"/>
              <w:left w:val="single" w:sz="5" w:color="000000"/>
              <w:bottom w:val="single" w:sz="5" w:color="000000"/>
              <w:right w:val="single" w:sz="5" w:color="000000"/>
            </w:tcBorders>
            <w:shd w:val="clear" w:color="9CC2E4" w:fill="9CC2E4"/>
            <w:textDirection w:val="lrTb"/>
            <w:vAlign w:val="center"/>
          </w:tcPr>
          <w:p>
            <w:pPr>
              <w:pageBreakBefore w:val="false"/>
              <w:spacing w:before="38" w:after="19" w:line="245" w:lineRule="exact"/>
              <w:ind w:right="591" w:left="0" w:firstLine="0"/>
              <w:jc w:val="right"/>
              <w:textAlignment w:val="baseline"/>
              <w:rPr>
                <w:rFonts w:ascii="Calibri" w:hAnsi="Calibri" w:eastAsia="Calibri"/>
                <w:b w:val="true"/>
                <w:color w:val="000000"/>
                <w:spacing w:val="0"/>
                <w:w w:val="100"/>
                <w:sz w:val="24"/>
                <w:vertAlign w:val="baseline"/>
                <w:lang w:val="en-US"/>
              </w:rPr>
            </w:pPr>
            <w:r>
              <w:rPr>
                <w:rFonts w:ascii="Calibri" w:hAnsi="Calibri" w:eastAsia="Calibri"/>
                <w:b w:val="true"/>
                <w:color w:val="000000"/>
                <w:spacing w:val="0"/>
                <w:w w:val="100"/>
                <w:sz w:val="24"/>
                <w:vertAlign w:val="baseline"/>
                <w:lang w:val="en-US"/>
              </w:rPr>
              <w:t xml:space="preserve">Status</w:t>
            </w:r>
          </w:p>
        </w:tc>
      </w:tr>
      <w:tr>
        <w:trPr>
          <w:trHeight w:val="547" w:hRule="exact"/>
        </w:trPr>
        <w:tc>
          <w:tcPr>
            <w:tcW w:w="481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9" w:line="261" w:lineRule="exact"/>
              <w:ind w:right="324" w:left="108"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Publish finalised Terms of Reference on R&amp;D Tax Incentive Roundtable webpage</w:t>
            </w:r>
          </w:p>
        </w:tc>
        <w:tc>
          <w:tcPr>
            <w:tcW w:w="632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89" w:line="225" w:lineRule="exact"/>
              <w:ind w:right="0" w:left="111"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DIIS</w:t>
            </w:r>
          </w:p>
        </w:tc>
        <w:tc>
          <w:tcPr>
            <w:tcW w:w="7857"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87" w:line="227" w:lineRule="exact"/>
              <w:ind w:right="0" w:left="110"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August 2019</w:t>
            </w:r>
          </w:p>
        </w:tc>
        <w:tc>
          <w:tcPr>
            <w:tcW w:w="9172"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89" w:line="225" w:lineRule="exact"/>
              <w:ind w:right="591" w:left="0" w:firstLine="0"/>
              <w:jc w:val="righ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Closed</w:t>
            </w:r>
          </w:p>
        </w:tc>
      </w:tr>
      <w:tr>
        <w:trPr>
          <w:trHeight w:val="816" w:hRule="exact"/>
        </w:trPr>
        <w:tc>
          <w:tcPr>
            <w:tcW w:w="481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0" w:line="264" w:lineRule="exact"/>
              <w:ind w:right="648" w:left="108"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Provide feedback channels for the Guide to Interpretation, Registration Form and Record Keeping to panel members</w:t>
            </w:r>
          </w:p>
        </w:tc>
        <w:tc>
          <w:tcPr>
            <w:tcW w:w="632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548" w:line="225" w:lineRule="exact"/>
              <w:ind w:right="0" w:left="111"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DIIS / ATO</w:t>
            </w:r>
          </w:p>
        </w:tc>
        <w:tc>
          <w:tcPr>
            <w:tcW w:w="7857"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547" w:line="226" w:lineRule="exact"/>
              <w:ind w:right="0" w:left="110"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August 2019</w:t>
            </w:r>
          </w:p>
        </w:tc>
        <w:tc>
          <w:tcPr>
            <w:tcW w:w="9172"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548" w:line="225" w:lineRule="exact"/>
              <w:ind w:right="591" w:left="0" w:firstLine="0"/>
              <w:jc w:val="righ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Closed</w:t>
            </w:r>
          </w:p>
        </w:tc>
      </w:tr>
      <w:tr>
        <w:trPr>
          <w:trHeight w:val="548" w:hRule="exact"/>
        </w:trPr>
        <w:tc>
          <w:tcPr>
            <w:tcW w:w="481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3" w:line="262" w:lineRule="exact"/>
              <w:ind w:right="324" w:left="108"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Provide data on 2017/18 registration numbers in the program</w:t>
            </w:r>
          </w:p>
        </w:tc>
        <w:tc>
          <w:tcPr>
            <w:tcW w:w="632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93" w:line="225" w:lineRule="exact"/>
              <w:ind w:right="0" w:left="111"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DIIS</w:t>
            </w:r>
          </w:p>
        </w:tc>
        <w:tc>
          <w:tcPr>
            <w:tcW w:w="7857"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5" w:line="261" w:lineRule="exact"/>
              <w:ind w:right="0" w:left="108"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November</w:t>
              <w:br/>
            </w:r>
            <w:r>
              <w:rPr>
                <w:rFonts w:ascii="Calibri" w:hAnsi="Calibri" w:eastAsia="Calibri"/>
                <w:color w:val="000000"/>
                <w:spacing w:val="0"/>
                <w:w w:val="100"/>
                <w:sz w:val="22"/>
                <w:vertAlign w:val="baseline"/>
                <w:lang w:val="en-US"/>
              </w:rPr>
              <w:t xml:space="preserve">2019</w:t>
            </w:r>
          </w:p>
        </w:tc>
        <w:tc>
          <w:tcPr>
            <w:tcW w:w="9172"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93" w:line="225" w:lineRule="exact"/>
              <w:ind w:right="591" w:left="0" w:firstLine="0"/>
              <w:jc w:val="righ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Closed</w:t>
            </w:r>
          </w:p>
        </w:tc>
      </w:tr>
      <w:tr>
        <w:trPr>
          <w:trHeight w:val="547" w:hRule="exact"/>
        </w:trPr>
        <w:tc>
          <w:tcPr>
            <w:tcW w:w="481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4" w:line="261" w:lineRule="exact"/>
              <w:ind w:right="1008" w:left="108"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Determine co-chair arrangements for the November Roundtable</w:t>
            </w:r>
          </w:p>
        </w:tc>
        <w:tc>
          <w:tcPr>
            <w:tcW w:w="632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93" w:line="225" w:lineRule="exact"/>
              <w:ind w:right="0" w:left="111"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Secretariat</w:t>
            </w:r>
          </w:p>
        </w:tc>
        <w:tc>
          <w:tcPr>
            <w:tcW w:w="7857"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4" w:line="261" w:lineRule="exact"/>
              <w:ind w:right="0" w:left="108"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November</w:t>
              <w:br/>
            </w:r>
            <w:r>
              <w:rPr>
                <w:rFonts w:ascii="Calibri" w:hAnsi="Calibri" w:eastAsia="Calibri"/>
                <w:color w:val="000000"/>
                <w:spacing w:val="0"/>
                <w:w w:val="100"/>
                <w:sz w:val="22"/>
                <w:vertAlign w:val="baseline"/>
                <w:lang w:val="en-US"/>
              </w:rPr>
              <w:t xml:space="preserve">2019</w:t>
            </w:r>
          </w:p>
        </w:tc>
        <w:tc>
          <w:tcPr>
            <w:tcW w:w="9172"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93" w:line="225" w:lineRule="exact"/>
              <w:ind w:right="591" w:left="0" w:firstLine="0"/>
              <w:jc w:val="righ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Closed</w:t>
            </w:r>
          </w:p>
        </w:tc>
      </w:tr>
      <w:tr>
        <w:trPr>
          <w:trHeight w:val="557" w:hRule="exact"/>
        </w:trPr>
        <w:tc>
          <w:tcPr>
            <w:tcW w:w="481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4" w:line="261" w:lineRule="exact"/>
              <w:ind w:right="864" w:left="108"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Provide an update on guidance products in development by the ATO</w:t>
            </w:r>
          </w:p>
        </w:tc>
        <w:tc>
          <w:tcPr>
            <w:tcW w:w="632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94" w:line="225" w:lineRule="exact"/>
              <w:ind w:right="0" w:left="111"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ATO</w:t>
            </w:r>
          </w:p>
        </w:tc>
        <w:tc>
          <w:tcPr>
            <w:tcW w:w="7857"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94" w:line="225" w:lineRule="exact"/>
              <w:ind w:right="0" w:left="110"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TBC</w:t>
            </w:r>
          </w:p>
        </w:tc>
        <w:tc>
          <w:tcPr>
            <w:tcW w:w="9172"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r>
    </w:tbl>
    <w:p>
      <w:pPr>
        <w:spacing w:before="0" w:after="417" w:line="20" w:lineRule="exact"/>
      </w:pPr>
    </w:p>
    <w:p>
      <w:pPr>
        <w:pageBreakBefore w:val="false"/>
        <w:spacing w:before="37" w:after="0" w:line="246" w:lineRule="exact"/>
        <w:ind w:right="0" w:left="504" w:firstLine="0"/>
        <w:jc w:val="left"/>
        <w:textAlignment w:val="baseline"/>
        <w:rPr>
          <w:rFonts w:ascii="Calibri" w:hAnsi="Calibri" w:eastAsia="Calibri"/>
          <w:b w:val="true"/>
          <w:color w:val="000000"/>
          <w:spacing w:val="4"/>
          <w:w w:val="100"/>
          <w:sz w:val="24"/>
          <w:vertAlign w:val="baseline"/>
          <w:lang w:val="en-US"/>
        </w:rPr>
      </w:pPr>
      <w:r>
        <w:rPr>
          <w:rFonts w:ascii="Calibri" w:hAnsi="Calibri" w:eastAsia="Calibri"/>
          <w:b w:val="true"/>
          <w:color w:val="000000"/>
          <w:spacing w:val="4"/>
          <w:w w:val="100"/>
          <w:sz w:val="24"/>
          <w:vertAlign w:val="baseline"/>
          <w:lang w:val="en-US"/>
        </w:rPr>
        <w:t xml:space="preserve">1. </w:t>
      </w:r>
      <w:r>
        <w:rPr>
          <w:rFonts w:ascii="Calibri" w:hAnsi="Calibri" w:eastAsia="Calibri"/>
          <w:b w:val="true"/>
          <w:color w:val="000000"/>
          <w:spacing w:val="4"/>
          <w:w w:val="100"/>
          <w:sz w:val="24"/>
          <w:u w:val="single"/>
          <w:vertAlign w:val="baseline"/>
          <w:lang w:val="en-US"/>
        </w:rPr>
        <w:t xml:space="preserve">Opening and Welcome</w:t>
      </w:r>
    </w:p>
    <w:p>
      <w:pPr>
        <w:pageBreakBefore w:val="false"/>
        <w:numPr>
          <w:ilvl w:val="0"/>
          <w:numId w:val="3"/>
        </w:numPr>
        <w:tabs>
          <w:tab w:val="clear" w:pos="360"/>
          <w:tab w:val="left" w:pos="864"/>
        </w:tabs>
        <w:spacing w:before="313" w:after="0" w:line="239" w:lineRule="exact"/>
        <w:ind w:right="0" w:left="864"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Lorraine Chiroiu (AusBiotech) welcomed as the co-chair for the November Roundtable</w:t>
      </w:r>
    </w:p>
    <w:p>
      <w:pPr>
        <w:pageBreakBefore w:val="false"/>
        <w:numPr>
          <w:ilvl w:val="0"/>
          <w:numId w:val="3"/>
        </w:numPr>
        <w:tabs>
          <w:tab w:val="clear" w:pos="360"/>
          <w:tab w:val="left" w:pos="864"/>
        </w:tabs>
        <w:spacing w:before="83" w:after="0" w:line="238" w:lineRule="exact"/>
        <w:ind w:right="0" w:left="864"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The RDTI Roundtable Terms of Reference have now been published on </w:t>
      </w:r>
      <w:hyperlink r:id="dhId1">
        <w:r>
          <w:rPr>
            <w:rFonts w:ascii="Calibri" w:hAnsi="Calibri" w:eastAsia="Calibri"/>
            <w:color w:val="0000FF"/>
            <w:spacing w:val="0"/>
            <w:w w:val="100"/>
            <w:sz w:val="22"/>
            <w:u w:val="single"/>
            <w:vertAlign w:val="baseline"/>
            <w:lang w:val="en-US"/>
          </w:rPr>
          <w:t xml:space="preserve">business.gov.au</w:t>
        </w:r>
      </w:hyperlink>
      <w:r>
        <w:rPr>
          <w:rFonts w:ascii="Calibri" w:hAnsi="Calibri" w:eastAsia="Calibri"/>
          <w:color w:val="000000"/>
          <w:spacing w:val="0"/>
          <w:w w:val="100"/>
          <w:sz w:val="22"/>
          <w:vertAlign w:val="baseline"/>
          <w:lang w:val="en-US"/>
        </w:rPr>
        <w:t xml:space="preserve">
</w:t>
      </w:r>
    </w:p>
    <w:p>
      <w:pPr>
        <w:pageBreakBefore w:val="false"/>
        <w:numPr>
          <w:ilvl w:val="0"/>
          <w:numId w:val="3"/>
        </w:numPr>
        <w:tabs>
          <w:tab w:val="clear" w:pos="360"/>
          <w:tab w:val="left" w:pos="864"/>
        </w:tabs>
        <w:spacing w:before="8" w:after="0" w:line="309" w:lineRule="exact"/>
        <w:ind w:right="72" w:left="864"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Members have provided feedback on the Guide to Interpretation, the Registration Form and on how the department and the ATO could provide additional guidance on Record Keeping in the RDTI</w:t>
      </w:r>
    </w:p>
    <w:p>
      <w:pPr>
        <w:pageBreakBefore w:val="false"/>
        <w:numPr>
          <w:ilvl w:val="0"/>
          <w:numId w:val="3"/>
        </w:numPr>
        <w:tabs>
          <w:tab w:val="clear" w:pos="360"/>
          <w:tab w:val="left" w:pos="864"/>
        </w:tabs>
        <w:spacing w:before="16" w:after="0" w:line="307" w:lineRule="exact"/>
        <w:ind w:right="72" w:left="864" w:hanging="360"/>
        <w:jc w:val="both"/>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Information regarding 2017/18 registration data provided in </w:t>
      </w:r>
      <w:r>
        <w:rPr>
          <w:rFonts w:ascii="Calibri" w:hAnsi="Calibri" w:eastAsia="Calibri"/>
          <w:b w:val="true"/>
          <w:color w:val="000000"/>
          <w:spacing w:val="0"/>
          <w:w w:val="100"/>
          <w:sz w:val="22"/>
          <w:vertAlign w:val="baseline"/>
          <w:lang w:val="en-US"/>
        </w:rPr>
        <w:t xml:space="preserve">Item 3</w:t>
      </w:r>
      <w:r>
        <w:rPr>
          <w:rFonts w:ascii="Calibri" w:hAnsi="Calibri" w:eastAsia="Calibri"/>
          <w:color w:val="000000"/>
          <w:spacing w:val="0"/>
          <w:w w:val="100"/>
          <w:sz w:val="22"/>
          <w:vertAlign w:val="baseline"/>
          <w:lang w:val="en-US"/>
        </w:rPr>
        <w:t xml:space="preserve">: R&amp;D Tax Incentive Facts and Figures</w:t>
      </w:r>
    </w:p>
    <w:p>
      <w:pPr>
        <w:pageBreakBefore w:val="false"/>
        <w:spacing w:before="393" w:after="0" w:line="245" w:lineRule="exact"/>
        <w:ind w:right="0" w:left="504" w:firstLine="0"/>
        <w:jc w:val="left"/>
        <w:textAlignment w:val="baseline"/>
        <w:rPr>
          <w:rFonts w:ascii="Calibri" w:hAnsi="Calibri" w:eastAsia="Calibri"/>
          <w:b w:val="true"/>
          <w:color w:val="000000"/>
          <w:spacing w:val="2"/>
          <w:w w:val="100"/>
          <w:sz w:val="24"/>
          <w:vertAlign w:val="baseline"/>
          <w:lang w:val="en-US"/>
        </w:rPr>
      </w:pPr>
      <w:r>
        <w:rPr>
          <w:rFonts w:ascii="Calibri" w:hAnsi="Calibri" w:eastAsia="Calibri"/>
          <w:b w:val="true"/>
          <w:color w:val="000000"/>
          <w:spacing w:val="2"/>
          <w:w w:val="100"/>
          <w:sz w:val="24"/>
          <w:vertAlign w:val="baseline"/>
          <w:lang w:val="en-US"/>
        </w:rPr>
        <w:t xml:space="preserve">2. </w:t>
      </w:r>
      <w:r>
        <w:rPr>
          <w:rFonts w:ascii="Calibri" w:hAnsi="Calibri" w:eastAsia="Calibri"/>
          <w:b w:val="true"/>
          <w:color w:val="000000"/>
          <w:spacing w:val="2"/>
          <w:w w:val="100"/>
          <w:sz w:val="24"/>
          <w:u w:val="single"/>
          <w:vertAlign w:val="baseline"/>
          <w:lang w:val="en-US"/>
        </w:rPr>
        <w:t xml:space="preserve">Update on State Reference Groups (SRGs) </w:t>
      </w:r>
    </w:p>
    <w:p>
      <w:pPr>
        <w:pageBreakBefore w:val="false"/>
        <w:numPr>
          <w:ilvl w:val="0"/>
          <w:numId w:val="3"/>
        </w:numPr>
        <w:tabs>
          <w:tab w:val="clear" w:pos="360"/>
          <w:tab w:val="left" w:pos="864"/>
        </w:tabs>
        <w:spacing w:before="314" w:after="0" w:line="238" w:lineRule="exact"/>
        <w:ind w:right="0" w:left="864"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SRGs were held in NSW, VIC, QLD, SA and WA throughout September/October</w:t>
      </w:r>
    </w:p>
    <w:p>
      <w:pPr>
        <w:pageBreakBefore w:val="false"/>
        <w:numPr>
          <w:ilvl w:val="0"/>
          <w:numId w:val="3"/>
        </w:numPr>
        <w:tabs>
          <w:tab w:val="clear" w:pos="360"/>
          <w:tab w:val="left" w:pos="864"/>
        </w:tabs>
        <w:spacing w:before="15" w:after="0" w:line="307" w:lineRule="exact"/>
        <w:ind w:right="432" w:left="864"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The agenda for the SRGs followed the Roundtable agenda, providing the opportunity for attendees to discuss program priorities with the department and the ATO</w:t>
      </w:r>
    </w:p>
    <w:p>
      <w:pPr>
        <w:pageBreakBefore w:val="false"/>
        <w:numPr>
          <w:ilvl w:val="0"/>
          <w:numId w:val="3"/>
        </w:numPr>
        <w:tabs>
          <w:tab w:val="clear" w:pos="360"/>
          <w:tab w:val="left" w:pos="864"/>
        </w:tabs>
        <w:spacing w:before="15" w:after="0" w:line="307" w:lineRule="exact"/>
        <w:ind w:right="216" w:left="864"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The main focus of the discussions at the SRGs were the consultation items raised at the last Roundtable. The consultation items were the DIIS registration form, the Guide to Interpretation and record keeping. The feedback received at the SRGs included:</w:t>
      </w:r>
    </w:p>
    <w:p>
      <w:pPr>
        <w:pageBreakBefore w:val="false"/>
        <w:numPr>
          <w:ilvl w:val="0"/>
          <w:numId w:val="4"/>
        </w:numPr>
        <w:tabs>
          <w:tab w:val="clear" w:pos="360"/>
          <w:tab w:val="left" w:pos="1584"/>
        </w:tabs>
        <w:spacing w:before="5" w:after="0" w:line="307" w:lineRule="exact"/>
        <w:ind w:right="432" w:left="1584"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Attendees supported the move to modify the registration form, in particular the option to partially complete the form and return at a later time</w:t>
      </w:r>
    </w:p>
    <w:p>
      <w:pPr>
        <w:pageBreakBefore w:val="false"/>
        <w:numPr>
          <w:ilvl w:val="0"/>
          <w:numId w:val="4"/>
        </w:numPr>
        <w:tabs>
          <w:tab w:val="clear" w:pos="360"/>
          <w:tab w:val="left" w:pos="1584"/>
        </w:tabs>
        <w:spacing w:before="6" w:after="0" w:line="307" w:lineRule="exact"/>
        <w:ind w:right="576" w:left="1584"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Attendees were keen to understand guidelines and best practice principles for record keeping in the program</w:t>
      </w:r>
    </w:p>
    <w:p>
      <w:pPr>
        <w:pageBreakBefore w:val="false"/>
        <w:numPr>
          <w:ilvl w:val="0"/>
          <w:numId w:val="4"/>
        </w:numPr>
        <w:tabs>
          <w:tab w:val="clear" w:pos="360"/>
          <w:tab w:val="left" w:pos="1584"/>
        </w:tabs>
        <w:spacing w:before="0" w:after="0" w:line="309" w:lineRule="exact"/>
        <w:ind w:right="648" w:left="1584"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The Guide to Interpretation should contain more positive examples of eligible activities</w:t>
      </w:r>
    </w:p>
    <w:p>
      <w:pPr>
        <w:pageBreakBefore w:val="false"/>
        <w:numPr>
          <w:ilvl w:val="0"/>
          <w:numId w:val="4"/>
        </w:numPr>
        <w:tabs>
          <w:tab w:val="clear" w:pos="360"/>
          <w:tab w:val="left" w:pos="1584"/>
        </w:tabs>
        <w:spacing w:before="1" w:after="0" w:line="307" w:lineRule="exact"/>
        <w:ind w:right="216" w:left="1584"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DIIS noted that attendees are able to nominate themselves for further consultation on record keeping.</w:t>
      </w:r>
    </w:p>
    <w:p>
      <w:pPr>
        <w:pageBreakBefore w:val="false"/>
        <w:numPr>
          <w:ilvl w:val="0"/>
          <w:numId w:val="4"/>
        </w:numPr>
        <w:tabs>
          <w:tab w:val="clear" w:pos="360"/>
          <w:tab w:val="left" w:pos="1584"/>
        </w:tabs>
        <w:spacing w:before="5" w:after="0" w:line="307" w:lineRule="exact"/>
        <w:ind w:right="72" w:left="1584"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The record keeping guidance may consider different modes of working (for example, Agile) and different industries</w:t>
      </w:r>
    </w:p>
    <w:p>
      <w:pPr>
        <w:pageBreakBefore w:val="false"/>
        <w:numPr>
          <w:ilvl w:val="0"/>
          <w:numId w:val="3"/>
        </w:numPr>
        <w:tabs>
          <w:tab w:val="clear" w:pos="360"/>
          <w:tab w:val="left" w:pos="864"/>
        </w:tabs>
        <w:spacing w:before="14" w:after="0" w:line="307" w:lineRule="exact"/>
        <w:ind w:right="72" w:left="864" w:hanging="360"/>
        <w:jc w:val="both"/>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The recent Federal Court decision on Moreton Resources v Innovation and Science Australia was also raised at the SRGs</w:t>
      </w:r>
    </w:p>
    <w:p>
      <w:pPr>
        <w:pageBreakBefore w:val="false"/>
        <w:numPr>
          <w:ilvl w:val="0"/>
          <w:numId w:val="3"/>
        </w:numPr>
        <w:tabs>
          <w:tab w:val="clear" w:pos="360"/>
          <w:tab w:val="left" w:pos="864"/>
        </w:tabs>
        <w:spacing w:before="85" w:after="0" w:line="238" w:lineRule="exact"/>
        <w:ind w:right="0" w:left="864" w:hanging="360"/>
        <w:jc w:val="both"/>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The next round of SRGs are planned to be held around February 2020</w:t>
      </w:r>
    </w:p>
    <w:p>
      <w:pPr>
        <w:sectPr>
          <w:type w:val="nextPage"/>
          <w:pgSz w:w="11909" w:h="16838" w:orient="portrait"/>
          <w:pgMar w:bottom="1702" w:top="1420" w:right="1412" w:left="1297" w:header="720" w:footer="720"/>
          <w:titlePg w:val="false"/>
          <w:textDirection w:val="lrTb"/>
        </w:sectPr>
      </w:pPr>
    </w:p>
    <w:p>
      <w:pPr>
        <w:pageBreakBefore w:val="false"/>
        <w:spacing w:before="44" w:after="0" w:line="269" w:lineRule="exact"/>
        <w:ind w:right="0" w:left="432" w:firstLine="0"/>
        <w:jc w:val="left"/>
        <w:textAlignment w:val="baseline"/>
        <w:rPr>
          <w:rFonts w:ascii="Calibri" w:hAnsi="Calibri" w:eastAsia="Calibri"/>
          <w:b w:val="true"/>
          <w:color w:val="000000"/>
          <w:spacing w:val="3"/>
          <w:w w:val="100"/>
          <w:sz w:val="24"/>
          <w:vertAlign w:val="baseline"/>
          <w:lang w:val="en-US"/>
        </w:rPr>
      </w:pPr>
      <w:r>
        <w:rPr>
          <w:rFonts w:ascii="Calibri" w:hAnsi="Calibri" w:eastAsia="Calibri"/>
          <w:b w:val="true"/>
          <w:color w:val="000000"/>
          <w:spacing w:val="3"/>
          <w:w w:val="100"/>
          <w:sz w:val="24"/>
          <w:vertAlign w:val="baseline"/>
          <w:lang w:val="en-US"/>
        </w:rPr>
        <w:t xml:space="preserve">3. </w:t>
      </w:r>
      <w:r>
        <w:rPr>
          <w:rFonts w:ascii="Calibri" w:hAnsi="Calibri" w:eastAsia="Calibri"/>
          <w:b w:val="true"/>
          <w:color w:val="000000"/>
          <w:spacing w:val="3"/>
          <w:w w:val="100"/>
          <w:sz w:val="24"/>
          <w:u w:val="single"/>
          <w:vertAlign w:val="baseline"/>
          <w:lang w:val="en-US"/>
        </w:rPr>
        <w:t xml:space="preserve">R&amp;D Tax Incentive Facts and Figures</w:t>
      </w:r>
    </w:p>
    <w:p>
      <w:pPr>
        <w:pageBreakBefore w:val="false"/>
        <w:spacing w:before="225" w:after="0" w:line="269" w:lineRule="exact"/>
        <w:ind w:right="576" w:left="72"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ATO/DIIS presented 2017/18 data from the R&amp;D Tax Incentive program. Some key points of the presentation were:</w:t>
      </w:r>
    </w:p>
    <w:p>
      <w:pPr>
        <w:pageBreakBefore w:val="false"/>
        <w:numPr>
          <w:ilvl w:val="0"/>
          <w:numId w:val="5"/>
        </w:numPr>
        <w:tabs>
          <w:tab w:val="clear" w:pos="432"/>
          <w:tab w:val="left" w:pos="864"/>
        </w:tabs>
        <w:spacing w:before="282" w:after="0" w:line="308" w:lineRule="exact"/>
        <w:ind w:right="504" w:left="864" w:hanging="432"/>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SMEs make up the vast majority of companies registering for the R&amp;D Tax Incentive, but large companies tend to spend more</w:t>
      </w:r>
    </w:p>
    <w:p>
      <w:pPr>
        <w:pageBreakBefore w:val="false"/>
        <w:numPr>
          <w:ilvl w:val="0"/>
          <w:numId w:val="4"/>
        </w:numPr>
        <w:tabs>
          <w:tab w:val="clear" w:pos="360"/>
          <w:tab w:val="left" w:pos="1512"/>
        </w:tabs>
        <w:spacing w:before="2" w:after="0" w:line="308" w:lineRule="exact"/>
        <w:ind w:right="792" w:left="1512"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Approximately 80% of registrants of the total 14,231 registrants are SMEs, compared to the 20% of registrants that are large businesses. However, large businesses account for 52% of R&amp;D expenditure under the program</w:t>
      </w:r>
    </w:p>
    <w:p>
      <w:pPr>
        <w:pageBreakBefore w:val="false"/>
        <w:numPr>
          <w:ilvl w:val="0"/>
          <w:numId w:val="5"/>
        </w:numPr>
        <w:tabs>
          <w:tab w:val="clear" w:pos="432"/>
          <w:tab w:val="left" w:pos="864"/>
        </w:tabs>
        <w:spacing w:before="12" w:after="0" w:line="308" w:lineRule="exact"/>
        <w:ind w:right="432" w:left="864" w:hanging="432"/>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Services, Manufacturing and Mining are the top three sectors registering for the R&amp;D Tax Incentive</w:t>
      </w:r>
    </w:p>
    <w:p>
      <w:pPr>
        <w:pageBreakBefore w:val="false"/>
        <w:numPr>
          <w:ilvl w:val="0"/>
          <w:numId w:val="4"/>
        </w:numPr>
        <w:tabs>
          <w:tab w:val="clear" w:pos="360"/>
          <w:tab w:val="left" w:pos="1512"/>
        </w:tabs>
        <w:spacing w:before="87" w:after="0" w:line="226" w:lineRule="exact"/>
        <w:ind w:right="0" w:left="1512"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These sectors account for nearly 92% of registrations</w:t>
      </w:r>
    </w:p>
    <w:p>
      <w:pPr>
        <w:pageBreakBefore w:val="false"/>
        <w:numPr>
          <w:ilvl w:val="0"/>
          <w:numId w:val="5"/>
        </w:numPr>
        <w:tabs>
          <w:tab w:val="clear" w:pos="432"/>
          <w:tab w:val="left" w:pos="864"/>
        </w:tabs>
        <w:spacing w:before="11" w:after="0" w:line="308" w:lineRule="exact"/>
        <w:ind w:right="576" w:left="864" w:hanging="432"/>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Professional, Scientific and Technical Services accounts for 44.2% of registrations in the Services Sector</w:t>
      </w:r>
    </w:p>
    <w:p>
      <w:pPr>
        <w:pageBreakBefore w:val="false"/>
        <w:numPr>
          <w:ilvl w:val="0"/>
          <w:numId w:val="5"/>
        </w:numPr>
        <w:tabs>
          <w:tab w:val="clear" w:pos="432"/>
          <w:tab w:val="left" w:pos="864"/>
        </w:tabs>
        <w:spacing w:before="85" w:after="0" w:line="238" w:lineRule="exact"/>
        <w:ind w:right="0" w:left="864" w:hanging="432"/>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The top three fields of research account for 91.0% of all R&amp;D expenditure</w:t>
      </w:r>
    </w:p>
    <w:p>
      <w:pPr>
        <w:pageBreakBefore w:val="false"/>
        <w:numPr>
          <w:ilvl w:val="0"/>
          <w:numId w:val="4"/>
        </w:numPr>
        <w:tabs>
          <w:tab w:val="clear" w:pos="360"/>
          <w:tab w:val="left" w:pos="1512"/>
        </w:tabs>
        <w:spacing w:before="0" w:after="0" w:line="306" w:lineRule="exact"/>
        <w:ind w:right="864" w:left="1512" w:hanging="360"/>
        <w:jc w:val="left"/>
        <w:textAlignment w:val="baseline"/>
        <w:rPr>
          <w:rFonts w:ascii="Calibri" w:hAnsi="Calibri" w:eastAsia="Calibri"/>
          <w:color w:val="000000"/>
          <w:spacing w:val="-1"/>
          <w:w w:val="100"/>
          <w:sz w:val="22"/>
          <w:vertAlign w:val="baseline"/>
          <w:lang w:val="en-US"/>
        </w:rPr>
      </w:pPr>
      <w:r>
        <w:rPr>
          <w:rFonts w:ascii="Calibri" w:hAnsi="Calibri" w:eastAsia="Calibri"/>
          <w:color w:val="000000"/>
          <w:spacing w:val="-1"/>
          <w:w w:val="100"/>
          <w:sz w:val="22"/>
          <w:vertAlign w:val="baseline"/>
          <w:lang w:val="en-US"/>
        </w:rPr>
        <w:t xml:space="preserve">Engineering is the highest at $4.5bn, then Information, Computing and Communication Sciences at $4.0bn and Medical &amp; Health Services at $1.2bn</w:t>
      </w:r>
    </w:p>
    <w:p>
      <w:pPr>
        <w:pageBreakBefore w:val="false"/>
        <w:numPr>
          <w:ilvl w:val="0"/>
          <w:numId w:val="5"/>
        </w:numPr>
        <w:tabs>
          <w:tab w:val="clear" w:pos="432"/>
          <w:tab w:val="left" w:pos="864"/>
        </w:tabs>
        <w:spacing w:before="85" w:after="0" w:line="238" w:lineRule="exact"/>
        <w:ind w:right="0" w:left="864" w:hanging="432"/>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New South Wales, Victoria and Queensland account for the majority of registrations</w:t>
      </w:r>
    </w:p>
    <w:p>
      <w:pPr>
        <w:pageBreakBefore w:val="false"/>
        <w:numPr>
          <w:ilvl w:val="0"/>
          <w:numId w:val="5"/>
        </w:numPr>
        <w:tabs>
          <w:tab w:val="clear" w:pos="432"/>
          <w:tab w:val="left" w:pos="864"/>
        </w:tabs>
        <w:spacing w:before="17" w:after="0" w:line="308" w:lineRule="exact"/>
        <w:ind w:right="216" w:left="864" w:hanging="432"/>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Panel members suggested that representation from The Treasury attend RDTI Roundtable meetings in future to obtain some clarity on how much money is spent on the program and the financial modelling that underpins it</w:t>
      </w:r>
    </w:p>
    <w:p>
      <w:pPr>
        <w:pageBreakBefore w:val="false"/>
        <w:spacing w:before="552" w:after="0" w:line="264" w:lineRule="exact"/>
        <w:ind w:right="0" w:left="432" w:firstLine="0"/>
        <w:jc w:val="left"/>
        <w:textAlignment w:val="baseline"/>
        <w:rPr>
          <w:rFonts w:ascii="Calibri" w:hAnsi="Calibri" w:eastAsia="Calibri"/>
          <w:b w:val="true"/>
          <w:color w:val="000000"/>
          <w:spacing w:val="7"/>
          <w:w w:val="100"/>
          <w:sz w:val="22"/>
          <w:vertAlign w:val="baseline"/>
          <w:lang w:val="en-US"/>
        </w:rPr>
      </w:pPr>
      <w:r>
        <w:rPr>
          <w:rFonts w:ascii="Calibri" w:hAnsi="Calibri" w:eastAsia="Calibri"/>
          <w:b w:val="true"/>
          <w:color w:val="000000"/>
          <w:spacing w:val="7"/>
          <w:w w:val="100"/>
          <w:sz w:val="22"/>
          <w:vertAlign w:val="baseline"/>
          <w:lang w:val="en-US"/>
        </w:rPr>
        <w:t xml:space="preserve">4. </w:t>
      </w:r>
      <w:r>
        <w:rPr>
          <w:rFonts w:ascii="Calibri" w:hAnsi="Calibri" w:eastAsia="Calibri"/>
          <w:b w:val="true"/>
          <w:color w:val="000000"/>
          <w:spacing w:val="7"/>
          <w:w w:val="100"/>
          <w:sz w:val="24"/>
          <w:u w:val="single"/>
          <w:vertAlign w:val="baseline"/>
          <w:lang w:val="en-US"/>
        </w:rPr>
        <w:t xml:space="preserve">Program Updates</w:t>
      </w:r>
    </w:p>
    <w:p>
      <w:pPr>
        <w:pageBreakBefore w:val="false"/>
        <w:numPr>
          <w:ilvl w:val="0"/>
          <w:numId w:val="5"/>
        </w:numPr>
        <w:tabs>
          <w:tab w:val="clear" w:pos="432"/>
          <w:tab w:val="left" w:pos="864"/>
        </w:tabs>
        <w:spacing w:before="228" w:after="0" w:line="308" w:lineRule="exact"/>
        <w:ind w:right="288" w:left="864" w:hanging="432"/>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There has been recent important updates to the RDTI program. In particular, guides have been published on the </w:t>
      </w:r>
      <w:hyperlink r:id="dhId2">
        <w:r>
          <w:rPr>
            <w:rFonts w:ascii="Calibri" w:hAnsi="Calibri" w:eastAsia="Calibri"/>
            <w:color w:val="0000FF"/>
            <w:spacing w:val="0"/>
            <w:w w:val="100"/>
            <w:sz w:val="22"/>
            <w:u w:val="single"/>
            <w:vertAlign w:val="baseline"/>
            <w:lang w:val="en-US"/>
          </w:rPr>
          <w:t xml:space="preserve">business.gov.au</w:t>
        </w:r>
      </w:hyperlink>
      <w:r>
        <w:rPr>
          <w:rFonts w:ascii="Calibri" w:hAnsi="Calibri" w:eastAsia="Calibri"/>
          <w:color w:val="000000"/>
          <w:spacing w:val="0"/>
          <w:w w:val="100"/>
          <w:sz w:val="22"/>
          <w:vertAlign w:val="baseline"/>
          <w:lang w:val="en-US"/>
        </w:rPr>
        <w:t xml:space="preserve"> website to provide applicants greater transparency on how their claim will be processed</w:t>
      </w:r>
    </w:p>
    <w:p>
      <w:pPr>
        <w:pageBreakBefore w:val="false"/>
        <w:numPr>
          <w:ilvl w:val="0"/>
          <w:numId w:val="4"/>
        </w:numPr>
        <w:tabs>
          <w:tab w:val="clear" w:pos="360"/>
          <w:tab w:val="left" w:pos="1512"/>
        </w:tabs>
        <w:spacing w:before="0" w:after="0" w:line="307" w:lineRule="exact"/>
        <w:ind w:right="432" w:left="1512"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These guides are the Integrity Framework, the Service Commitment and the User Journey</w:t>
      </w:r>
    </w:p>
    <w:p>
      <w:pPr>
        <w:pageBreakBefore w:val="false"/>
        <w:numPr>
          <w:ilvl w:val="0"/>
          <w:numId w:val="5"/>
        </w:numPr>
        <w:tabs>
          <w:tab w:val="clear" w:pos="432"/>
          <w:tab w:val="left" w:pos="864"/>
        </w:tabs>
        <w:spacing w:before="13" w:after="0" w:line="308" w:lineRule="exact"/>
        <w:ind w:right="72" w:left="864" w:hanging="432"/>
        <w:jc w:val="both"/>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DIIS noted that not all registrant’s journeys will necessarily be encompassed in the User Journey diagram. It still remains that registrants are assessed on a case-by-case basis</w:t>
      </w:r>
    </w:p>
    <w:p>
      <w:pPr>
        <w:pageBreakBefore w:val="false"/>
        <w:numPr>
          <w:ilvl w:val="0"/>
          <w:numId w:val="5"/>
        </w:numPr>
        <w:tabs>
          <w:tab w:val="clear" w:pos="432"/>
          <w:tab w:val="left" w:pos="864"/>
        </w:tabs>
        <w:spacing w:before="16" w:after="0" w:line="308" w:lineRule="exact"/>
        <w:ind w:right="72" w:left="864" w:hanging="432"/>
        <w:jc w:val="both"/>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DIIS highlighted that registration in the program does not mean that there will be no further compliance action, nor that the activities are eligible. Rather, the User Journey illustrates the categorisation of the intent of the registrants and how this may affect their interactions with the program</w:t>
      </w:r>
    </w:p>
    <w:p>
      <w:pPr>
        <w:pageBreakBefore w:val="false"/>
        <w:numPr>
          <w:ilvl w:val="0"/>
          <w:numId w:val="5"/>
        </w:numPr>
        <w:tabs>
          <w:tab w:val="clear" w:pos="432"/>
          <w:tab w:val="left" w:pos="864"/>
        </w:tabs>
        <w:spacing w:before="12" w:after="0" w:line="308" w:lineRule="exact"/>
        <w:ind w:right="72" w:left="864" w:hanging="432"/>
        <w:jc w:val="both"/>
        <w:textAlignment w:val="baseline"/>
        <w:rPr>
          <w:rFonts w:ascii="Calibri" w:hAnsi="Calibri" w:eastAsia="Calibri"/>
          <w:color w:val="000000"/>
          <w:spacing w:val="-2"/>
          <w:w w:val="100"/>
          <w:sz w:val="22"/>
          <w:vertAlign w:val="baseline"/>
          <w:lang w:val="en-US"/>
        </w:rPr>
      </w:pPr>
      <w:r>
        <w:rPr>
          <w:rFonts w:ascii="Calibri" w:hAnsi="Calibri" w:eastAsia="Calibri"/>
          <w:color w:val="000000"/>
          <w:spacing w:val="-2"/>
          <w:w w:val="100"/>
          <w:sz w:val="22"/>
          <w:vertAlign w:val="baseline"/>
          <w:lang w:val="en-US"/>
        </w:rPr>
        <w:t xml:space="preserve">DIIS noted that there will be a greater focus on education and guidance for registrants, in particular first time registrants who may need assistance in navigating the program and understanding its requirements. This may also result in an increase in pre-registration activity</w:t>
      </w:r>
    </w:p>
    <w:p>
      <w:pPr>
        <w:pageBreakBefore w:val="false"/>
        <w:numPr>
          <w:ilvl w:val="0"/>
          <w:numId w:val="5"/>
        </w:numPr>
        <w:tabs>
          <w:tab w:val="clear" w:pos="432"/>
          <w:tab w:val="left" w:pos="864"/>
        </w:tabs>
        <w:spacing w:before="84" w:after="0" w:line="238" w:lineRule="exact"/>
        <w:ind w:right="0" w:left="864" w:hanging="432"/>
        <w:jc w:val="both"/>
        <w:textAlignment w:val="baseline"/>
        <w:rPr>
          <w:rFonts w:ascii="Calibri" w:hAnsi="Calibri" w:eastAsia="Calibri"/>
          <w:color w:val="000000"/>
          <w:spacing w:val="-1"/>
          <w:w w:val="100"/>
          <w:sz w:val="22"/>
          <w:vertAlign w:val="baseline"/>
          <w:lang w:val="en-US"/>
        </w:rPr>
      </w:pPr>
      <w:r>
        <w:rPr>
          <w:rFonts w:ascii="Calibri" w:hAnsi="Calibri" w:eastAsia="Calibri"/>
          <w:color w:val="000000"/>
          <w:spacing w:val="-1"/>
          <w:w w:val="100"/>
          <w:sz w:val="22"/>
          <w:vertAlign w:val="baseline"/>
          <w:lang w:val="en-US"/>
        </w:rPr>
        <w:t xml:space="preserve">Feedback from panel members included:</w:t>
      </w:r>
    </w:p>
    <w:p>
      <w:pPr>
        <w:pageBreakBefore w:val="false"/>
        <w:numPr>
          <w:ilvl w:val="0"/>
          <w:numId w:val="4"/>
        </w:numPr>
        <w:tabs>
          <w:tab w:val="clear" w:pos="360"/>
          <w:tab w:val="left" w:pos="1512"/>
        </w:tabs>
        <w:spacing w:before="3" w:after="0" w:line="308" w:lineRule="exact"/>
        <w:ind w:right="216" w:left="1512"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The User Journey is a step in the right direction to providing transparency about the program</w:t>
      </w:r>
    </w:p>
    <w:p>
      <w:pPr>
        <w:pageBreakBefore w:val="false"/>
        <w:numPr>
          <w:ilvl w:val="0"/>
          <w:numId w:val="4"/>
        </w:numPr>
        <w:tabs>
          <w:tab w:val="clear" w:pos="360"/>
          <w:tab w:val="left" w:pos="1512"/>
        </w:tabs>
        <w:spacing w:before="0" w:after="0" w:line="307" w:lineRule="exact"/>
        <w:ind w:right="288" w:left="1512"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There is concern that those categorised as “Getting it Right” will assume that their activities are eligible, and that no further compliance action will be undertaken</w:t>
      </w:r>
    </w:p>
    <w:p>
      <w:pPr>
        <w:sectPr>
          <w:type w:val="nextPage"/>
          <w:pgSz w:w="11909" w:h="16838" w:orient="portrait"/>
          <w:pgMar w:bottom="1382" w:top="1420" w:right="1352" w:left="1357" w:header="720" w:footer="720"/>
          <w:titlePg w:val="false"/>
          <w:textDirection w:val="lrTb"/>
        </w:sectPr>
      </w:pPr>
    </w:p>
    <w:p>
      <w:pPr>
        <w:pageBreakBefore w:val="false"/>
        <w:numPr>
          <w:ilvl w:val="0"/>
          <w:numId w:val="4"/>
        </w:numPr>
        <w:tabs>
          <w:tab w:val="clear" w:pos="360"/>
          <w:tab w:val="left" w:pos="1080"/>
        </w:tabs>
        <w:spacing w:before="5" w:after="0" w:line="308" w:lineRule="exact"/>
        <w:ind w:right="72" w:left="1080"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Furthermore, there is concern that registrants categorised as “Trying to get it Right” will assume that targeted education is the only factor required for activities to be deemed eligible</w:t>
      </w:r>
    </w:p>
    <w:p>
      <w:pPr>
        <w:pageBreakBefore w:val="false"/>
        <w:numPr>
          <w:ilvl w:val="0"/>
          <w:numId w:val="3"/>
        </w:numPr>
        <w:tabs>
          <w:tab w:val="clear" w:pos="360"/>
          <w:tab w:val="left" w:pos="360"/>
        </w:tabs>
        <w:spacing w:before="12" w:after="0" w:line="308" w:lineRule="exact"/>
        <w:ind w:right="216" w:left="360"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The consensus from Panel Members was that whilst the underlying principles contained in the User Journey/ Integrity Framework are apparent to the reader, some of the wording relating to steps in the User Journey need refinement</w:t>
      </w:r>
    </w:p>
    <w:p>
      <w:pPr>
        <w:pageBreakBefore w:val="false"/>
        <w:numPr>
          <w:ilvl w:val="0"/>
          <w:numId w:val="4"/>
        </w:numPr>
        <w:tabs>
          <w:tab w:val="clear" w:pos="360"/>
          <w:tab w:val="left" w:pos="1080"/>
        </w:tabs>
        <w:spacing w:before="86" w:after="0" w:line="226" w:lineRule="exact"/>
        <w:ind w:right="0" w:left="1080"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DIIS are willing to take this feedback on board and make refinements as required</w:t>
      </w:r>
    </w:p>
    <w:p>
      <w:pPr>
        <w:pageBreakBefore w:val="false"/>
        <w:spacing w:before="393" w:after="0" w:line="266" w:lineRule="exact"/>
        <w:ind w:right="0" w:left="0" w:firstLine="0"/>
        <w:jc w:val="left"/>
        <w:textAlignment w:val="baseline"/>
        <w:rPr>
          <w:rFonts w:ascii="Calibri" w:hAnsi="Calibri" w:eastAsia="Calibri"/>
          <w:b w:val="true"/>
          <w:color w:val="000000"/>
          <w:spacing w:val="3"/>
          <w:w w:val="100"/>
          <w:sz w:val="22"/>
          <w:vertAlign w:val="baseline"/>
          <w:lang w:val="en-US"/>
        </w:rPr>
      </w:pPr>
      <w:r>
        <w:rPr>
          <w:rFonts w:ascii="Calibri" w:hAnsi="Calibri" w:eastAsia="Calibri"/>
          <w:b w:val="true"/>
          <w:color w:val="000000"/>
          <w:spacing w:val="3"/>
          <w:w w:val="100"/>
          <w:sz w:val="22"/>
          <w:vertAlign w:val="baseline"/>
          <w:lang w:val="en-US"/>
        </w:rPr>
        <w:t xml:space="preserve">5. </w:t>
      </w:r>
      <w:r>
        <w:rPr>
          <w:rFonts w:ascii="Calibri" w:hAnsi="Calibri" w:eastAsia="Calibri"/>
          <w:b w:val="true"/>
          <w:color w:val="000000"/>
          <w:spacing w:val="3"/>
          <w:w w:val="100"/>
          <w:sz w:val="24"/>
          <w:u w:val="single"/>
          <w:vertAlign w:val="baseline"/>
          <w:lang w:val="en-US"/>
        </w:rPr>
        <w:t xml:space="preserve">Year in Review and Year Ahead</w:t>
      </w:r>
    </w:p>
    <w:p>
      <w:pPr>
        <w:pageBreakBefore w:val="false"/>
        <w:numPr>
          <w:ilvl w:val="0"/>
          <w:numId w:val="3"/>
        </w:numPr>
        <w:tabs>
          <w:tab w:val="clear" w:pos="360"/>
          <w:tab w:val="left" w:pos="360"/>
        </w:tabs>
        <w:spacing w:before="293" w:after="0" w:line="238" w:lineRule="exact"/>
        <w:ind w:right="0" w:left="360" w:hanging="360"/>
        <w:jc w:val="left"/>
        <w:textAlignment w:val="baseline"/>
        <w:rPr>
          <w:rFonts w:ascii="Calibri" w:hAnsi="Calibri" w:eastAsia="Calibri"/>
          <w:color w:val="000000"/>
          <w:spacing w:val="-2"/>
          <w:w w:val="100"/>
          <w:sz w:val="22"/>
          <w:vertAlign w:val="baseline"/>
          <w:lang w:val="en-US"/>
        </w:rPr>
      </w:pPr>
      <w:r>
        <w:rPr>
          <w:rFonts w:ascii="Calibri" w:hAnsi="Calibri" w:eastAsia="Calibri"/>
          <w:color w:val="000000"/>
          <w:spacing w:val="-2"/>
          <w:w w:val="100"/>
          <w:sz w:val="22"/>
          <w:vertAlign w:val="baseline"/>
          <w:lang w:val="en-US"/>
        </w:rPr>
        <w:t xml:space="preserve">DIIS discussed some of the key milestones for the program that happened in 2019, including:</w:t>
      </w:r>
    </w:p>
    <w:p>
      <w:pPr>
        <w:pageBreakBefore w:val="false"/>
        <w:numPr>
          <w:ilvl w:val="0"/>
          <w:numId w:val="4"/>
        </w:numPr>
        <w:tabs>
          <w:tab w:val="clear" w:pos="360"/>
          <w:tab w:val="left" w:pos="1080"/>
        </w:tabs>
        <w:spacing w:before="81" w:after="0" w:line="225" w:lineRule="exact"/>
        <w:ind w:right="0" w:left="1080"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Four new members of the R&amp;D Tax Incentive Committee</w:t>
      </w:r>
    </w:p>
    <w:p>
      <w:pPr>
        <w:pageBreakBefore w:val="false"/>
        <w:numPr>
          <w:ilvl w:val="0"/>
          <w:numId w:val="4"/>
        </w:numPr>
        <w:tabs>
          <w:tab w:val="clear" w:pos="360"/>
          <w:tab w:val="left" w:pos="1080"/>
        </w:tabs>
        <w:spacing w:before="87" w:after="0" w:line="225" w:lineRule="exact"/>
        <w:ind w:right="0" w:left="1080"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First R&amp;D Tax Incentive Roundtable held in March 2019</w:t>
      </w:r>
    </w:p>
    <w:p>
      <w:pPr>
        <w:pageBreakBefore w:val="false"/>
        <w:numPr>
          <w:ilvl w:val="0"/>
          <w:numId w:val="4"/>
        </w:numPr>
        <w:tabs>
          <w:tab w:val="clear" w:pos="360"/>
          <w:tab w:val="left" w:pos="1080"/>
        </w:tabs>
        <w:spacing w:before="0" w:after="0" w:line="308" w:lineRule="exact"/>
        <w:ind w:right="216" w:left="1080"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State Reference Groups (SRGs) were re-commenced with 80 people attending the SRGs in May/June and 101 people attending the SRGs in September/October</w:t>
      </w:r>
    </w:p>
    <w:p>
      <w:pPr>
        <w:pageBreakBefore w:val="false"/>
        <w:numPr>
          <w:ilvl w:val="0"/>
          <w:numId w:val="4"/>
        </w:numPr>
        <w:tabs>
          <w:tab w:val="clear" w:pos="360"/>
          <w:tab w:val="left" w:pos="1080"/>
        </w:tabs>
        <w:spacing w:before="86" w:after="0" w:line="226" w:lineRule="exact"/>
        <w:ind w:right="0" w:left="1080"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Publishing of the Integrity Framework on the </w:t>
      </w:r>
      <w:hyperlink r:id="dhId3">
        <w:r>
          <w:rPr>
            <w:rFonts w:ascii="Calibri" w:hAnsi="Calibri" w:eastAsia="Calibri"/>
            <w:color w:val="0000FF"/>
            <w:spacing w:val="0"/>
            <w:w w:val="100"/>
            <w:sz w:val="22"/>
            <w:u w:val="single"/>
            <w:vertAlign w:val="baseline"/>
            <w:lang w:val="en-US"/>
          </w:rPr>
          <w:t xml:space="preserve">business.gov.au</w:t>
        </w:r>
      </w:hyperlink>
      <w:r>
        <w:rPr>
          <w:rFonts w:ascii="Calibri" w:hAnsi="Calibri" w:eastAsia="Calibri"/>
          <w:color w:val="000000"/>
          <w:spacing w:val="0"/>
          <w:w w:val="100"/>
          <w:sz w:val="22"/>
          <w:vertAlign w:val="baseline"/>
          <w:lang w:val="en-US"/>
        </w:rPr>
        <w:t xml:space="preserve"> website</w:t>
      </w:r>
    </w:p>
    <w:p>
      <w:pPr>
        <w:pageBreakBefore w:val="false"/>
        <w:numPr>
          <w:ilvl w:val="0"/>
          <w:numId w:val="4"/>
        </w:numPr>
        <w:tabs>
          <w:tab w:val="clear" w:pos="360"/>
          <w:tab w:val="left" w:pos="1080"/>
        </w:tabs>
        <w:spacing w:before="0" w:after="0" w:line="307" w:lineRule="exact"/>
        <w:ind w:right="144" w:left="1080"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Release of two software guidance documents (Getting software development R&amp;D Tax Incentive claims right &amp; Guide to common errors)</w:t>
      </w:r>
    </w:p>
    <w:p>
      <w:pPr>
        <w:pageBreakBefore w:val="false"/>
        <w:numPr>
          <w:ilvl w:val="0"/>
          <w:numId w:val="4"/>
        </w:numPr>
        <w:tabs>
          <w:tab w:val="clear" w:pos="360"/>
          <w:tab w:val="left" w:pos="1080"/>
        </w:tabs>
        <w:spacing w:before="86" w:after="0" w:line="226" w:lineRule="exact"/>
        <w:ind w:right="0" w:left="1080"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Refresh and updates to the </w:t>
      </w:r>
      <w:hyperlink r:id="dhId4">
        <w:r>
          <w:rPr>
            <w:rFonts w:ascii="Calibri" w:hAnsi="Calibri" w:eastAsia="Calibri"/>
            <w:color w:val="0000FF"/>
            <w:spacing w:val="0"/>
            <w:w w:val="100"/>
            <w:sz w:val="22"/>
            <w:u w:val="single"/>
            <w:vertAlign w:val="baseline"/>
            <w:lang w:val="en-US"/>
          </w:rPr>
          <w:t xml:space="preserve">business.gov.au</w:t>
        </w:r>
      </w:hyperlink>
      <w:r>
        <w:rPr>
          <w:rFonts w:ascii="Calibri" w:hAnsi="Calibri" w:eastAsia="Calibri"/>
          <w:color w:val="000000"/>
          <w:spacing w:val="0"/>
          <w:w w:val="100"/>
          <w:sz w:val="22"/>
          <w:vertAlign w:val="baseline"/>
          <w:lang w:val="en-US"/>
        </w:rPr>
        <w:t xml:space="preserve"> RDTI webpages</w:t>
      </w:r>
    </w:p>
    <w:p>
      <w:pPr>
        <w:pageBreakBefore w:val="false"/>
        <w:numPr>
          <w:ilvl w:val="0"/>
          <w:numId w:val="4"/>
        </w:numPr>
        <w:tabs>
          <w:tab w:val="clear" w:pos="360"/>
          <w:tab w:val="left" w:pos="1080"/>
        </w:tabs>
        <w:spacing w:before="81" w:after="0" w:line="226" w:lineRule="exact"/>
        <w:ind w:right="0" w:left="1080"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RDTI Tax Incentive Workshops were held in NSW, VIC, QLD, WA, SA and TAS</w:t>
      </w:r>
    </w:p>
    <w:p>
      <w:pPr>
        <w:pageBreakBefore w:val="false"/>
        <w:numPr>
          <w:ilvl w:val="0"/>
          <w:numId w:val="4"/>
        </w:numPr>
        <w:tabs>
          <w:tab w:val="clear" w:pos="360"/>
          <w:tab w:val="left" w:pos="1080"/>
        </w:tabs>
        <w:spacing w:before="2" w:after="0" w:line="308" w:lineRule="exact"/>
        <w:ind w:right="216" w:left="1080"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A decision was provided by the Federal Court on Moreton Resources v Innovation and Science Australia</w:t>
      </w:r>
    </w:p>
    <w:p>
      <w:pPr>
        <w:pageBreakBefore w:val="false"/>
        <w:numPr>
          <w:ilvl w:val="0"/>
          <w:numId w:val="3"/>
        </w:numPr>
        <w:tabs>
          <w:tab w:val="clear" w:pos="360"/>
          <w:tab w:val="left" w:pos="360"/>
        </w:tabs>
        <w:spacing w:before="80" w:after="0" w:line="238" w:lineRule="exact"/>
        <w:ind w:right="0" w:left="360"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DIIS also discussed some of the expectations of the program in 2020:</w:t>
      </w:r>
    </w:p>
    <w:p>
      <w:pPr>
        <w:pageBreakBefore w:val="false"/>
        <w:numPr>
          <w:ilvl w:val="0"/>
          <w:numId w:val="4"/>
        </w:numPr>
        <w:tabs>
          <w:tab w:val="clear" w:pos="360"/>
          <w:tab w:val="left" w:pos="1080"/>
        </w:tabs>
        <w:spacing w:before="4" w:after="0" w:line="308" w:lineRule="exact"/>
        <w:ind w:right="576" w:left="1080"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The RDTI Roundtable meetings, along with the State Reference Groups, will be continuing in 2020</w:t>
      </w:r>
    </w:p>
    <w:p>
      <w:pPr>
        <w:pageBreakBefore w:val="false"/>
        <w:numPr>
          <w:ilvl w:val="0"/>
          <w:numId w:val="4"/>
        </w:numPr>
        <w:tabs>
          <w:tab w:val="clear" w:pos="360"/>
          <w:tab w:val="left" w:pos="1080"/>
        </w:tabs>
        <w:spacing w:before="3" w:after="0" w:line="308" w:lineRule="exact"/>
        <w:ind w:right="0" w:left="1080"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More program workshops and information sessions; potentially in combination with company presentations</w:t>
      </w:r>
    </w:p>
    <w:p>
      <w:pPr>
        <w:pageBreakBefore w:val="false"/>
        <w:numPr>
          <w:ilvl w:val="0"/>
          <w:numId w:val="4"/>
        </w:numPr>
        <w:tabs>
          <w:tab w:val="clear" w:pos="360"/>
          <w:tab w:val="left" w:pos="1080"/>
        </w:tabs>
        <w:spacing w:before="81" w:after="0" w:line="226" w:lineRule="exact"/>
        <w:ind w:right="0" w:left="1080"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The continued application of the Integrity Framework</w:t>
      </w:r>
    </w:p>
    <w:p>
      <w:pPr>
        <w:pageBreakBefore w:val="false"/>
        <w:numPr>
          <w:ilvl w:val="0"/>
          <w:numId w:val="4"/>
        </w:numPr>
        <w:tabs>
          <w:tab w:val="clear" w:pos="360"/>
          <w:tab w:val="left" w:pos="1080"/>
        </w:tabs>
        <w:spacing w:before="81" w:after="0" w:line="226" w:lineRule="exact"/>
        <w:ind w:right="0" w:left="1080"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The release of the refreshed Guide to Interpretation</w:t>
      </w:r>
    </w:p>
    <w:p>
      <w:pPr>
        <w:pageBreakBefore w:val="false"/>
        <w:numPr>
          <w:ilvl w:val="0"/>
          <w:numId w:val="4"/>
        </w:numPr>
        <w:tabs>
          <w:tab w:val="clear" w:pos="360"/>
          <w:tab w:val="left" w:pos="1080"/>
        </w:tabs>
        <w:spacing w:before="86" w:after="0" w:line="226" w:lineRule="exact"/>
        <w:ind w:right="0" w:left="1080"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A new registration portal</w:t>
      </w:r>
    </w:p>
    <w:p>
      <w:pPr>
        <w:pageBreakBefore w:val="false"/>
        <w:numPr>
          <w:ilvl w:val="0"/>
          <w:numId w:val="3"/>
        </w:numPr>
        <w:tabs>
          <w:tab w:val="clear" w:pos="360"/>
          <w:tab w:val="left" w:pos="360"/>
        </w:tabs>
        <w:spacing w:before="12" w:after="0" w:line="308" w:lineRule="exact"/>
        <w:ind w:right="360" w:left="360"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Panel members enquired about the status of the lapsed bill for legislative changes to the R&amp;D Tax Incentive</w:t>
      </w:r>
    </w:p>
    <w:p>
      <w:pPr>
        <w:pageBreakBefore w:val="false"/>
        <w:numPr>
          <w:ilvl w:val="0"/>
          <w:numId w:val="4"/>
        </w:numPr>
        <w:tabs>
          <w:tab w:val="clear" w:pos="360"/>
          <w:tab w:val="left" w:pos="1080"/>
        </w:tabs>
        <w:spacing w:before="82" w:after="0" w:line="226" w:lineRule="exact"/>
        <w:ind w:right="0" w:left="1080"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DIIS responded that no updates could be provided at that time</w:t>
      </w:r>
    </w:p>
    <w:p>
      <w:pPr>
        <w:pageBreakBefore w:val="false"/>
        <w:numPr>
          <w:ilvl w:val="0"/>
          <w:numId w:val="3"/>
        </w:numPr>
        <w:tabs>
          <w:tab w:val="clear" w:pos="360"/>
          <w:tab w:val="left" w:pos="360"/>
        </w:tabs>
        <w:spacing w:before="84" w:after="0" w:line="238" w:lineRule="exact"/>
        <w:ind w:right="0" w:left="360"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Panel members enquired about the possibility of creating a software working group.</w:t>
      </w:r>
    </w:p>
    <w:p>
      <w:pPr>
        <w:pageBreakBefore w:val="false"/>
        <w:numPr>
          <w:ilvl w:val="0"/>
          <w:numId w:val="4"/>
        </w:numPr>
        <w:tabs>
          <w:tab w:val="clear" w:pos="360"/>
          <w:tab w:val="left" w:pos="1080"/>
        </w:tabs>
        <w:spacing w:before="86" w:after="0" w:line="226" w:lineRule="exact"/>
        <w:ind w:right="0" w:left="1080"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DIIS responded that no such groups are planned at present</w:t>
      </w:r>
    </w:p>
    <w:p>
      <w:pPr>
        <w:sectPr>
          <w:type w:val="nextPage"/>
          <w:pgSz w:w="11909" w:h="16838" w:orient="portrait"/>
          <w:pgMar w:bottom="4182" w:top="1380" w:right="1469" w:left="1800" w:header="720" w:footer="720"/>
          <w:titlePg w:val="false"/>
          <w:textDirection w:val="lrTb"/>
        </w:sectPr>
      </w:pPr>
    </w:p>
    <w:p>
      <w:pPr>
        <w:pageBreakBefore w:val="false"/>
        <w:spacing w:before="63" w:after="0" w:line="245" w:lineRule="exact"/>
        <w:ind w:right="0" w:left="576" w:firstLine="0"/>
        <w:jc w:val="left"/>
        <w:textAlignment w:val="baseline"/>
        <w:rPr>
          <w:rFonts w:ascii="Calibri" w:hAnsi="Calibri" w:eastAsia="Calibri"/>
          <w:b w:val="true"/>
          <w:color w:val="000000"/>
          <w:spacing w:val="2"/>
          <w:w w:val="100"/>
          <w:sz w:val="22"/>
          <w:vertAlign w:val="baseline"/>
          <w:lang w:val="en-US"/>
        </w:rPr>
      </w:pPr>
      <w:r>
        <w:rPr>
          <w:rFonts w:ascii="Calibri" w:hAnsi="Calibri" w:eastAsia="Calibri"/>
          <w:b w:val="true"/>
          <w:color w:val="000000"/>
          <w:spacing w:val="2"/>
          <w:w w:val="100"/>
          <w:sz w:val="22"/>
          <w:vertAlign w:val="baseline"/>
          <w:lang w:val="en-US"/>
        </w:rPr>
        <w:t xml:space="preserve">6. </w:t>
      </w:r>
      <w:r>
        <w:rPr>
          <w:rFonts w:ascii="Calibri" w:hAnsi="Calibri" w:eastAsia="Calibri"/>
          <w:b w:val="true"/>
          <w:color w:val="000000"/>
          <w:spacing w:val="2"/>
          <w:w w:val="100"/>
          <w:sz w:val="22"/>
          <w:u w:val="single"/>
          <w:vertAlign w:val="baseline"/>
          <w:lang w:val="en-US"/>
        </w:rPr>
        <w:t xml:space="preserve">Any outstanding items and close</w:t>
      </w:r>
    </w:p>
    <w:p>
      <w:pPr>
        <w:pageBreakBefore w:val="false"/>
        <w:numPr>
          <w:ilvl w:val="0"/>
          <w:numId w:val="6"/>
        </w:numPr>
        <w:tabs>
          <w:tab w:val="clear" w:pos="288"/>
          <w:tab w:val="left" w:pos="864"/>
        </w:tabs>
        <w:spacing w:before="372" w:after="0" w:line="238" w:lineRule="exact"/>
        <w:ind w:right="0" w:left="864" w:hanging="288"/>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The R&amp;D Tax Incentive Roundtables will continue to be held in 2020</w:t>
      </w:r>
    </w:p>
    <w:p>
      <w:pPr>
        <w:pageBreakBefore w:val="false"/>
        <w:tabs>
          <w:tab w:val="left" w:leader="none" w:pos="1584"/>
        </w:tabs>
        <w:spacing w:before="86" w:after="0" w:line="249" w:lineRule="exact"/>
        <w:ind w:right="0" w:left="1224" w:firstLine="0"/>
        <w:jc w:val="left"/>
        <w:textAlignment w:val="baseline"/>
        <w:rPr>
          <w:rFonts w:ascii="Courier New" w:hAnsi="Courier New" w:eastAsia="Courier New"/>
          <w:color w:val="000000"/>
          <w:spacing w:val="0"/>
          <w:w w:val="100"/>
          <w:sz w:val="22"/>
          <w:vertAlign w:val="baseline"/>
          <w:lang w:val="en-US"/>
        </w:rPr>
      </w:pPr>
      <w:r>
        <w:rPr>
          <w:rFonts w:ascii="Courier New" w:hAnsi="Courier New" w:eastAsia="Courier New"/>
          <w:color w:val="000000"/>
          <w:spacing w:val="0"/>
          <w:w w:val="100"/>
          <w:sz w:val="22"/>
          <w:vertAlign w:val="baseline"/>
          <w:lang w:val="en-US"/>
        </w:rPr>
        <w:t xml:space="preserve">o	</w:t>
      </w:r>
      <w:r>
        <w:rPr>
          <w:rFonts w:ascii="Calibri" w:hAnsi="Calibri" w:eastAsia="Calibri"/>
          <w:color w:val="000000"/>
          <w:spacing w:val="0"/>
          <w:w w:val="100"/>
          <w:sz w:val="22"/>
          <w:vertAlign w:val="baseline"/>
          <w:lang w:val="en-US"/>
        </w:rPr>
        <w:t xml:space="preserve">They are currently scheduled to be held in March, July and November</w:t>
      </w:r>
    </w:p>
    <w:p>
      <w:pPr>
        <w:pageBreakBefore w:val="false"/>
        <w:numPr>
          <w:ilvl w:val="0"/>
          <w:numId w:val="6"/>
        </w:numPr>
        <w:tabs>
          <w:tab w:val="clear" w:pos="288"/>
          <w:tab w:val="left" w:pos="864"/>
        </w:tabs>
        <w:spacing w:before="0" w:after="774" w:line="302" w:lineRule="exact"/>
        <w:ind w:right="72" w:left="864" w:hanging="288"/>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The date of the first Roundtable will be on Tuesday 24 March 2020. The location, timing and invitee list for the March 2020 Roundtable will be determined closer to the date</w:t>
      </w:r>
    </w:p>
    <w:tbl>
      <w:tblPr>
        <w:jc w:val="left"/>
        <w:tblInd w:w="61" w:type="dxa"/>
        <w:tblLayout w:type="fixed"/>
        <w:tblCellMar>
          <w:left w:w="0" w:type="dxa"/>
          <w:right w:w="0" w:type="dxa"/>
        </w:tblCellMar>
      </w:tblPr>
      <w:tblGrid>
        <w:gridCol w:w="5842"/>
        <w:gridCol w:w="1564"/>
        <w:gridCol w:w="1671"/>
      </w:tblGrid>
      <w:tr>
        <w:trPr>
          <w:trHeight w:val="307" w:hRule="exact"/>
        </w:trPr>
        <w:tc>
          <w:tcPr>
            <w:tcW w:w="5903" w:type="auto"/>
            <w:gridSpan w:val="1"/>
            <w:tcBorders>
              <w:top w:val="single" w:sz="5" w:color="000000"/>
              <w:left w:val="single" w:sz="5" w:color="000000"/>
              <w:bottom w:val="single" w:sz="5" w:color="000000"/>
              <w:right w:val="single" w:sz="5" w:color="000000"/>
            </w:tcBorders>
            <w:shd w:val="clear" w:color="9CC2E4" w:fill="9CC2E4"/>
            <w:textDirection w:val="lrTb"/>
            <w:vAlign w:val="center"/>
          </w:tcPr>
          <w:p>
            <w:pPr>
              <w:pageBreakBefore w:val="false"/>
              <w:spacing w:before="38" w:after="14" w:line="245" w:lineRule="exact"/>
              <w:ind w:right="0" w:left="115" w:firstLine="0"/>
              <w:jc w:val="left"/>
              <w:textAlignment w:val="baseline"/>
              <w:rPr>
                <w:rFonts w:ascii="Calibri" w:hAnsi="Calibri" w:eastAsia="Calibri"/>
                <w:b w:val="true"/>
                <w:color w:val="000000"/>
                <w:spacing w:val="0"/>
                <w:w w:val="100"/>
                <w:sz w:val="24"/>
                <w:vertAlign w:val="baseline"/>
                <w:lang w:val="en-US"/>
              </w:rPr>
            </w:pPr>
            <w:r>
              <w:rPr>
                <w:rFonts w:ascii="Calibri" w:hAnsi="Calibri" w:eastAsia="Calibri"/>
                <w:b w:val="true"/>
                <w:color w:val="000000"/>
                <w:spacing w:val="0"/>
                <w:w w:val="100"/>
                <w:sz w:val="24"/>
                <w:vertAlign w:val="baseline"/>
                <w:lang w:val="en-US"/>
              </w:rPr>
              <w:t xml:space="preserve">Action Items</w:t>
            </w:r>
          </w:p>
        </w:tc>
        <w:tc>
          <w:tcPr>
            <w:tcW w:w="7467" w:type="auto"/>
            <w:gridSpan w:val="1"/>
            <w:tcBorders>
              <w:top w:val="single" w:sz="5" w:color="000000"/>
              <w:left w:val="single" w:sz="5" w:color="000000"/>
              <w:bottom w:val="single" w:sz="5" w:color="000000"/>
              <w:right w:val="single" w:sz="5" w:color="000000"/>
            </w:tcBorders>
            <w:shd w:val="clear" w:color="9CC2E4" w:fill="9CC2E4"/>
            <w:textDirection w:val="lrTb"/>
            <w:vAlign w:val="center"/>
          </w:tcPr>
          <w:p>
            <w:pPr>
              <w:pageBreakBefore w:val="false"/>
              <w:spacing w:before="38" w:after="14" w:line="245" w:lineRule="exact"/>
              <w:ind w:right="0" w:left="110" w:firstLine="0"/>
              <w:jc w:val="left"/>
              <w:textAlignment w:val="baseline"/>
              <w:rPr>
                <w:rFonts w:ascii="Calibri" w:hAnsi="Calibri" w:eastAsia="Calibri"/>
                <w:b w:val="true"/>
                <w:color w:val="000000"/>
                <w:spacing w:val="0"/>
                <w:w w:val="100"/>
                <w:sz w:val="24"/>
                <w:vertAlign w:val="baseline"/>
                <w:lang w:val="en-US"/>
              </w:rPr>
            </w:pPr>
            <w:r>
              <w:rPr>
                <w:rFonts w:ascii="Calibri" w:hAnsi="Calibri" w:eastAsia="Calibri"/>
                <w:b w:val="true"/>
                <w:color w:val="000000"/>
                <w:spacing w:val="0"/>
                <w:w w:val="100"/>
                <w:sz w:val="24"/>
                <w:vertAlign w:val="baseline"/>
                <w:lang w:val="en-US"/>
              </w:rPr>
              <w:t xml:space="preserve">Ownership</w:t>
            </w:r>
          </w:p>
        </w:tc>
        <w:tc>
          <w:tcPr>
            <w:tcW w:w="9138" w:type="auto"/>
            <w:gridSpan w:val="1"/>
            <w:tcBorders>
              <w:top w:val="single" w:sz="5" w:color="000000"/>
              <w:left w:val="single" w:sz="5" w:color="000000"/>
              <w:bottom w:val="single" w:sz="5" w:color="000000"/>
              <w:right w:val="single" w:sz="5" w:color="000000"/>
            </w:tcBorders>
            <w:shd w:val="clear" w:color="9CC2E4" w:fill="9CC2E4"/>
            <w:textDirection w:val="lrTb"/>
            <w:vAlign w:val="center"/>
          </w:tcPr>
          <w:p>
            <w:pPr>
              <w:pageBreakBefore w:val="false"/>
              <w:spacing w:before="38" w:after="14" w:line="245" w:lineRule="exact"/>
              <w:ind w:right="0" w:left="120" w:firstLine="0"/>
              <w:jc w:val="left"/>
              <w:textAlignment w:val="baseline"/>
              <w:rPr>
                <w:rFonts w:ascii="Calibri" w:hAnsi="Calibri" w:eastAsia="Calibri"/>
                <w:b w:val="true"/>
                <w:color w:val="000000"/>
                <w:spacing w:val="0"/>
                <w:w w:val="100"/>
                <w:sz w:val="24"/>
                <w:vertAlign w:val="baseline"/>
                <w:lang w:val="en-US"/>
              </w:rPr>
            </w:pPr>
            <w:r>
              <w:rPr>
                <w:rFonts w:ascii="Calibri" w:hAnsi="Calibri" w:eastAsia="Calibri"/>
                <w:b w:val="true"/>
                <w:color w:val="000000"/>
                <w:spacing w:val="0"/>
                <w:w w:val="100"/>
                <w:sz w:val="24"/>
                <w:vertAlign w:val="baseline"/>
                <w:lang w:val="en-US"/>
              </w:rPr>
              <w:t xml:space="preserve">Due Date</w:t>
            </w:r>
          </w:p>
        </w:tc>
      </w:tr>
      <w:tr>
        <w:trPr>
          <w:trHeight w:val="816" w:hRule="exact"/>
        </w:trPr>
        <w:tc>
          <w:tcPr>
            <w:tcW w:w="590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83" w:line="264" w:lineRule="exact"/>
              <w:ind w:right="792" w:left="108"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Reflect on the feedback received in relation to the User Journey and update communications over time</w:t>
            </w:r>
          </w:p>
        </w:tc>
        <w:tc>
          <w:tcPr>
            <w:tcW w:w="7467"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3" w:after="553" w:line="225" w:lineRule="exact"/>
              <w:ind w:right="0" w:left="110"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DIIS</w:t>
            </w:r>
          </w:p>
        </w:tc>
        <w:tc>
          <w:tcPr>
            <w:tcW w:w="913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3" w:after="551" w:line="227" w:lineRule="exact"/>
              <w:ind w:right="0" w:left="120"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Ongoing</w:t>
            </w:r>
          </w:p>
        </w:tc>
      </w:tr>
      <w:tr>
        <w:trPr>
          <w:trHeight w:val="495" w:hRule="exact"/>
        </w:trPr>
        <w:tc>
          <w:tcPr>
            <w:tcW w:w="590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3" w:after="225" w:line="227" w:lineRule="exact"/>
              <w:ind w:right="0" w:left="115"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Open an invitation to Treasury to attend Roundtable</w:t>
            </w:r>
          </w:p>
        </w:tc>
        <w:tc>
          <w:tcPr>
            <w:tcW w:w="7467"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3" w:after="227" w:line="225" w:lineRule="exact"/>
              <w:ind w:right="0" w:left="110"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DIIS/ATO</w:t>
            </w:r>
          </w:p>
        </w:tc>
        <w:tc>
          <w:tcPr>
            <w:tcW w:w="913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3" w:after="227" w:line="225" w:lineRule="exact"/>
              <w:ind w:right="0" w:left="120"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March 2020</w:t>
            </w:r>
          </w:p>
        </w:tc>
      </w:tr>
      <w:tr>
        <w:trPr>
          <w:trHeight w:val="499" w:hRule="exact"/>
        </w:trPr>
        <w:tc>
          <w:tcPr>
            <w:tcW w:w="590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40" w:line="226" w:lineRule="exact"/>
              <w:ind w:right="0" w:left="115"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Determine co-chair arrangements for the March Roundtable</w:t>
            </w:r>
          </w:p>
        </w:tc>
        <w:tc>
          <w:tcPr>
            <w:tcW w:w="7467"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41" w:line="225" w:lineRule="exact"/>
              <w:ind w:right="0" w:left="110"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Secretariat</w:t>
            </w:r>
          </w:p>
        </w:tc>
        <w:tc>
          <w:tcPr>
            <w:tcW w:w="913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41" w:line="225" w:lineRule="exact"/>
              <w:ind w:right="0" w:left="120"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March 2020</w:t>
            </w:r>
          </w:p>
        </w:tc>
      </w:tr>
    </w:tbl>
    <w:p>
      <w:pPr>
        <w:spacing w:before="0" w:after="203" w:line="20" w:lineRule="exact"/>
      </w:pPr>
    </w:p>
    <w:p>
      <w:pPr>
        <w:pageBreakBefore w:val="false"/>
        <w:spacing w:before="36" w:after="0" w:line="225" w:lineRule="exact"/>
        <w:ind w:right="0" w:left="0" w:firstLine="0"/>
        <w:jc w:val="center"/>
        <w:textAlignment w:val="baseline"/>
        <w:rPr>
          <w:rFonts w:ascii="Calibri" w:hAnsi="Calibri" w:eastAsia="Calibri"/>
          <w:i w:val="true"/>
          <w:color w:val="000000"/>
          <w:spacing w:val="0"/>
          <w:w w:val="100"/>
          <w:sz w:val="22"/>
          <w:vertAlign w:val="baseline"/>
          <w:lang w:val="en-US"/>
        </w:rPr>
      </w:pPr>
      <w:r>
        <w:rPr>
          <w:rFonts w:ascii="Calibri" w:hAnsi="Calibri" w:eastAsia="Calibri"/>
          <w:i w:val="true"/>
          <w:color w:val="000000"/>
          <w:spacing w:val="0"/>
          <w:w w:val="100"/>
          <w:sz w:val="22"/>
          <w:vertAlign w:val="baseline"/>
          <w:lang w:val="en-US"/>
        </w:rPr>
        <w:t xml:space="preserve">-- End of summary --</w:t>
      </w:r>
      <w:r>
        <w:rPr>
          <w:rFonts w:ascii="Calibri" w:hAnsi="Calibri" w:eastAsia="Calibri"/>
          <w:color w:val="000000"/>
          <w:w w:val="100"/>
          <w:sz w:val="24"/>
          <w:vertAlign w:val="baseline"/>
          <w:lang w:val="en-US"/>
        </w:rPr>
        <w:t xml:space="preserve">
</w:t>
      </w:r>
    </w:p>
    <w:sectPr>
      <w:type w:val="nextPage"/>
      <w:pgSz w:w="11909" w:h="16838" w:orient="portrait"/>
      <w:pgMar w:bottom="9782" w:top="1400" w:right="1445" w:left="1264"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Courier New">
    <w:charset w:val="00"/>
    <w:pitch w:val="fixed"/>
    <w:family w:val="moder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288"/>
        </w:tabs>
      </w:pPr>
      <w:rPr>
        <w:rFonts w:ascii="Calibri" w:hAnsi="Calibri" w:eastAsia="Calibri"/>
        <w:b w:val="true"/>
        <w:color w:val="000000"/>
        <w:spacing w:val="0"/>
        <w:w w:val="100"/>
        <w:sz w:val="22"/>
        <w:vertAlign w:val="baseline"/>
        <w:lang w:val="en-US"/>
      </w:rPr>
    </w:lvl>
  </w:abstractNum>
  <w:abstractNum w:abstractNumId="2">
    <w:lvl w:ilvl="0">
      <w:start w:val="0"/>
      <w:numFmt w:val="decimal"/>
      <w:lvlText w:val="%1."/>
      <w:pPr>
        <w:tabs>
          <w:tab w:val="left" w:pos="360"/>
        </w:tabs>
      </w:pPr>
      <w:rPr>
        <w:rFonts w:ascii="Calibri" w:hAnsi="Calibri" w:eastAsia="Calibri"/>
        <w:b w:val="true"/>
        <w:color w:val="000000"/>
        <w:spacing w:val="-2"/>
        <w:w w:val="100"/>
        <w:sz w:val="22"/>
        <w:vertAlign w:val="baseline"/>
        <w:lang w:val="en-US"/>
      </w:rPr>
    </w:lvl>
  </w:abstractNum>
  <w:abstractNum w:abstractNumId="3">
    <w:lvl w:ilvl="0">
      <w:start w:val="0"/>
      <w:numFmt w:val="bullet"/>
      <w:lvlText w:val="·"/>
      <w:pPr>
        <w:tabs>
          <w:tab w:val="left" w:pos="360"/>
        </w:tabs>
      </w:pPr>
      <w:rPr>
        <w:rFonts w:ascii="Symbol" w:hAnsi="Symbol" w:eastAsia="Symbol"/>
        <w:color w:val="000000"/>
        <w:spacing w:val="0"/>
        <w:w w:val="100"/>
        <w:sz w:val="22"/>
        <w:vertAlign w:val="baseline"/>
        <w:lang w:val="en-US"/>
      </w:rPr>
    </w:lvl>
  </w:abstractNum>
  <w:abstractNum w:abstractNumId="4">
    <w:lvl w:ilvl="0">
      <w:start w:val="0"/>
      <w:numFmt w:val="bullet"/>
      <w:lvlText w:val="o"/>
      <w:pPr>
        <w:tabs>
          <w:tab w:val="left" w:pos="360"/>
        </w:tabs>
      </w:pPr>
      <w:rPr>
        <w:rFonts w:ascii="Courier New" w:hAnsi="Courier New" w:eastAsia="Courier New"/>
        <w:color w:val="000000"/>
        <w:spacing w:val="0"/>
        <w:w w:val="100"/>
        <w:sz w:val="22"/>
        <w:vertAlign w:val="baseline"/>
        <w:lang w:val="en-US"/>
      </w:rPr>
    </w:lvl>
  </w:abstractNum>
  <w:abstractNum w:abstractNumId="5">
    <w:lvl w:ilvl="0">
      <w:start w:val="0"/>
      <w:numFmt w:val="bullet"/>
      <w:lvlText w:val="·"/>
      <w:pPr>
        <w:tabs>
          <w:tab w:val="left" w:pos="432"/>
        </w:tabs>
      </w:pPr>
      <w:rPr>
        <w:rFonts w:ascii="Symbol" w:hAnsi="Symbol" w:eastAsia="Symbol"/>
        <w:color w:val="000000"/>
        <w:spacing w:val="0"/>
        <w:w w:val="100"/>
        <w:sz w:val="22"/>
        <w:vertAlign w:val="baseline"/>
        <w:lang w:val="en-US"/>
      </w:rPr>
    </w:lvl>
  </w:abstractNum>
  <w:abstractNum w:abstractNumId="6">
    <w:lvl w:ilvl="0">
      <w:start w:val="0"/>
      <w:numFmt w:val="bullet"/>
      <w:lvlText w:val="·"/>
      <w:pPr>
        <w:tabs>
          <w:tab w:val="left" w:pos="288"/>
        </w:tabs>
      </w:pPr>
      <w:rPr>
        <w:rFonts w:ascii="Symbol" w:hAnsi="Symbol" w:eastAsia="Symbol"/>
        <w:color w:val="000000"/>
        <w:spacing w:val="0"/>
        <w:w w:val="100"/>
        <w:sz w:val="22"/>
        <w:vertAlign w:val="baseline"/>
        <w:lang w:val="en-U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dhId1" Type="http://schemas.openxmlformats.org/officeDocument/2006/relationships/hyperlink" TargetMode="External" Target="http://business.gov.au"/><Relationship Id="dhId2" Type="http://schemas.openxmlformats.org/officeDocument/2006/relationships/hyperlink" TargetMode="External" Target="http://business.gov.au"/><Relationship Id="dhId3" Type="http://schemas.openxmlformats.org/officeDocument/2006/relationships/hyperlink" TargetMode="External" Target="http://business.gov.au"/><Relationship Id="dhId4" Type="http://schemas.openxmlformats.org/officeDocument/2006/relationships/hyperlink" TargetMode="External" Target="http://business.gov.au"/><Relationship Id="prId1" Type="http://schemas.openxmlformats.org/officeDocument/2006/relationships/image" Target="media/image1.jpg"/><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dc:title>R</dc:title>
</cp:coreProperties>
</file>