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2200F" w14:textId="72959645" w:rsidR="00FE0307" w:rsidRPr="00FE0307" w:rsidRDefault="00B800D1" w:rsidP="009D1E7B">
      <w:pPr>
        <w:pStyle w:val="Heading1"/>
        <w:sectPr w:rsidR="00FE0307" w:rsidRPr="00FE0307" w:rsidSect="007B3299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t>Business Events Grant Program</w:t>
      </w:r>
      <w:r>
        <w:br/>
        <w:t>Information for Event Owners</w:t>
      </w:r>
    </w:p>
    <w:p w14:paraId="38771C5A" w14:textId="77777777" w:rsidR="00A20413" w:rsidRDefault="00F17F75" w:rsidP="00A20413">
      <w:pPr>
        <w:pStyle w:val="Normalintroduction"/>
        <w:rPr>
          <w:sz w:val="22"/>
        </w:rPr>
      </w:pPr>
      <w:r w:rsidRPr="00A20413">
        <w:rPr>
          <w:sz w:val="22"/>
        </w:rPr>
        <w:t xml:space="preserve">This factsheet provides information on eligible expenses </w:t>
      </w:r>
      <w:r w:rsidR="00D14DC0" w:rsidRPr="00A20413">
        <w:rPr>
          <w:sz w:val="22"/>
        </w:rPr>
        <w:t>e</w:t>
      </w:r>
      <w:r w:rsidRPr="00A20413">
        <w:rPr>
          <w:sz w:val="22"/>
        </w:rPr>
        <w:t xml:space="preserve">vent </w:t>
      </w:r>
      <w:r w:rsidR="00D14DC0" w:rsidRPr="00A20413">
        <w:rPr>
          <w:sz w:val="22"/>
        </w:rPr>
        <w:t>o</w:t>
      </w:r>
      <w:r w:rsidRPr="00A20413">
        <w:rPr>
          <w:sz w:val="22"/>
        </w:rPr>
        <w:t>wners may apply for under the Business Events Grant Program.</w:t>
      </w:r>
      <w:r w:rsidR="00D14DC0" w:rsidRPr="00A20413">
        <w:rPr>
          <w:sz w:val="22"/>
        </w:rPr>
        <w:t xml:space="preserve"> </w:t>
      </w:r>
    </w:p>
    <w:p w14:paraId="518C70A0" w14:textId="7915BA80" w:rsidR="00A20413" w:rsidRPr="009D1E7B" w:rsidRDefault="00D14DC0" w:rsidP="009D1E7B">
      <w:pPr>
        <w:pStyle w:val="Normalintroduction"/>
        <w:rPr>
          <w:sz w:val="22"/>
        </w:rPr>
      </w:pPr>
      <w:r w:rsidRPr="00A20413">
        <w:rPr>
          <w:sz w:val="22"/>
        </w:rPr>
        <w:t xml:space="preserve">Grant funding will cover up to 50% of eligible </w:t>
      </w:r>
      <w:r w:rsidR="00485A1E" w:rsidRPr="00A20413">
        <w:rPr>
          <w:sz w:val="22"/>
        </w:rPr>
        <w:t xml:space="preserve">expenditure in participating at </w:t>
      </w:r>
      <w:r w:rsidRPr="00A20413">
        <w:rPr>
          <w:sz w:val="22"/>
        </w:rPr>
        <w:t>business events listed on the Schedule of Approved Business Events</w:t>
      </w:r>
      <w:r w:rsidR="005F399C" w:rsidRPr="00A20413">
        <w:rPr>
          <w:sz w:val="22"/>
        </w:rPr>
        <w:t xml:space="preserve"> on </w:t>
      </w:r>
      <w:hyperlink r:id="rId11" w:history="1">
        <w:r w:rsidR="005F399C" w:rsidRPr="00A20413">
          <w:rPr>
            <w:rStyle w:val="Hyperlink"/>
            <w:sz w:val="22"/>
          </w:rPr>
          <w:t>Austrade’s website</w:t>
        </w:r>
      </w:hyperlink>
      <w:r w:rsidR="005F399C" w:rsidRPr="00A20413">
        <w:rPr>
          <w:sz w:val="22"/>
        </w:rPr>
        <w:t xml:space="preserve">. </w:t>
      </w:r>
    </w:p>
    <w:p w14:paraId="2A8C85E3" w14:textId="5A196CBA" w:rsidR="001E4530" w:rsidRDefault="00922FB3" w:rsidP="001E4530">
      <w:pPr>
        <w:pStyle w:val="Heading2"/>
      </w:pPr>
      <w:r>
        <w:t xml:space="preserve">What </w:t>
      </w:r>
      <w:r w:rsidR="00A20413">
        <w:t>is eligible</w:t>
      </w:r>
      <w:r w:rsidR="00763CB4">
        <w:t>?</w:t>
      </w:r>
      <w:r w:rsidR="009D1E7B" w:rsidRPr="00DE595C">
        <w:rPr>
          <w:rStyle w:val="EndnoteReference"/>
        </w:rPr>
        <w:endnoteReference w:customMarkFollows="1" w:id="1"/>
        <w:t>^</w:t>
      </w:r>
    </w:p>
    <w:p w14:paraId="4F69E91B" w14:textId="61359F93" w:rsidR="00D14DC0" w:rsidRDefault="00D14DC0" w:rsidP="00C57E8E">
      <w:r>
        <w:t xml:space="preserve">Event owners can apply for grant funding to cover costs associated with participating in their own event through an event stand or designated space or </w:t>
      </w:r>
      <w:r w:rsidR="00A20413">
        <w:t xml:space="preserve">as </w:t>
      </w:r>
      <w:r>
        <w:t xml:space="preserve">a registered delegate. The participation in the event must be for the purposes of buying or selling. </w:t>
      </w:r>
    </w:p>
    <w:p w14:paraId="3C670DCB" w14:textId="5C8BEB3E" w:rsidR="00D14DC0" w:rsidRDefault="00D14DC0" w:rsidP="00C57E8E">
      <w:r w:rsidRPr="00B35373">
        <w:t xml:space="preserve">Event </w:t>
      </w:r>
      <w:r>
        <w:t>o</w:t>
      </w:r>
      <w:r w:rsidRPr="00B35373">
        <w:t>wners do not need to formally register</w:t>
      </w:r>
      <w:r>
        <w:t xml:space="preserve"> for the event</w:t>
      </w:r>
      <w:r w:rsidRPr="00B35373">
        <w:t xml:space="preserve"> but need to show their intent to participate.</w:t>
      </w:r>
    </w:p>
    <w:p w14:paraId="21B5308B" w14:textId="1ECE2237" w:rsidR="00A20413" w:rsidRPr="008473AD" w:rsidRDefault="00CD4E24" w:rsidP="00C57E8E">
      <w:r>
        <w:t xml:space="preserve">Refer to the </w:t>
      </w:r>
      <w:hyperlink r:id="rId12" w:history="1">
        <w:r w:rsidR="001D6CDF" w:rsidRPr="00C57E8E">
          <w:rPr>
            <w:rStyle w:val="Hyperlink"/>
          </w:rPr>
          <w:t>Eligible Expenditure factsheet</w:t>
        </w:r>
      </w:hyperlink>
      <w:r>
        <w:rPr>
          <w:rStyle w:val="Hyperlink"/>
          <w:u w:val="none"/>
        </w:rPr>
        <w:t xml:space="preserve"> </w:t>
      </w:r>
      <w:r w:rsidRPr="008473AD">
        <w:rPr>
          <w:rStyle w:val="Hyperlink"/>
          <w:color w:val="auto"/>
          <w:u w:val="none"/>
        </w:rPr>
        <w:t>for a full list of eligible</w:t>
      </w:r>
      <w:r>
        <w:rPr>
          <w:rStyle w:val="Hyperlink"/>
          <w:color w:val="auto"/>
          <w:u w:val="none"/>
        </w:rPr>
        <w:t xml:space="preserve"> and ineligible</w:t>
      </w:r>
      <w:r w:rsidRPr="008473AD">
        <w:rPr>
          <w:rStyle w:val="Hyperlink"/>
          <w:color w:val="auto"/>
          <w:u w:val="none"/>
        </w:rPr>
        <w:t xml:space="preserve"> expenditure items. Common</w:t>
      </w:r>
      <w:r>
        <w:rPr>
          <w:rStyle w:val="Hyperlink"/>
          <w:color w:val="auto"/>
          <w:u w:val="none"/>
        </w:rPr>
        <w:t xml:space="preserve"> expenditure items for event owners include: </w:t>
      </w:r>
    </w:p>
    <w:p w14:paraId="5CE04C80" w14:textId="3649F6DA" w:rsidR="00913859" w:rsidRDefault="00913859" w:rsidP="00D32946">
      <w:pPr>
        <w:pStyle w:val="ListBullet"/>
        <w:ind w:left="357" w:hanging="357"/>
        <w:rPr>
          <w:b/>
        </w:rPr>
      </w:pPr>
      <w:r>
        <w:rPr>
          <w:b/>
        </w:rPr>
        <w:t>Travel and accommodation</w:t>
      </w:r>
      <w:r w:rsidR="009D1E7B">
        <w:rPr>
          <w:rStyle w:val="EndnoteReference"/>
          <w:b/>
        </w:rPr>
        <w:endnoteReference w:customMarkFollows="1" w:id="2"/>
        <w:t>*</w:t>
      </w:r>
    </w:p>
    <w:p w14:paraId="23E3A16B" w14:textId="1D80CFFA" w:rsidR="00913859" w:rsidRDefault="00913859" w:rsidP="00A20413">
      <w:pPr>
        <w:pStyle w:val="ListBullet"/>
        <w:numPr>
          <w:ilvl w:val="0"/>
          <w:numId w:val="31"/>
        </w:numPr>
      </w:pPr>
      <w:r w:rsidRPr="00C57E8E">
        <w:t>Accommodation and airfares for staff participating in the event for the purposes of buying and selling</w:t>
      </w:r>
      <w:r>
        <w:t xml:space="preserve"> or working the designated space or event stand</w:t>
      </w:r>
      <w:r w:rsidR="009D1E7B" w:rsidRPr="009D1E7B">
        <w:rPr>
          <w:vertAlign w:val="superscript"/>
        </w:rPr>
        <w:t>*</w:t>
      </w:r>
      <w:r w:rsidRPr="00C57E8E">
        <w:t xml:space="preserve"> </w:t>
      </w:r>
    </w:p>
    <w:p w14:paraId="4CEAE66D" w14:textId="77777777" w:rsidR="00A20413" w:rsidRPr="00C57E8E" w:rsidRDefault="00A20413" w:rsidP="00A20413">
      <w:pPr>
        <w:pStyle w:val="ListBullet"/>
        <w:ind w:left="357"/>
      </w:pPr>
    </w:p>
    <w:p w14:paraId="6BF9130E" w14:textId="77777777" w:rsidR="00BD35E0" w:rsidRPr="00763CB4" w:rsidRDefault="00763CB4" w:rsidP="00D32946">
      <w:pPr>
        <w:pStyle w:val="ListBullet"/>
        <w:ind w:left="357" w:hanging="357"/>
        <w:rPr>
          <w:b/>
        </w:rPr>
      </w:pPr>
      <w:r w:rsidRPr="00763CB4">
        <w:rPr>
          <w:b/>
        </w:rPr>
        <w:t>Event sponsorship</w:t>
      </w:r>
    </w:p>
    <w:p w14:paraId="7FE75668" w14:textId="78C630B8" w:rsidR="00234BA4" w:rsidRDefault="00763CB4" w:rsidP="00A20413">
      <w:pPr>
        <w:pStyle w:val="ListBullet"/>
        <w:numPr>
          <w:ilvl w:val="0"/>
          <w:numId w:val="31"/>
        </w:numPr>
      </w:pPr>
      <w:r>
        <w:t xml:space="preserve">Up to $10,000 </w:t>
      </w:r>
      <w:r w:rsidR="00B559EF">
        <w:t xml:space="preserve">to sponsor your own event </w:t>
      </w:r>
      <w:r>
        <w:t>(</w:t>
      </w:r>
      <w:r w:rsidR="00A20413">
        <w:t>e.g.</w:t>
      </w:r>
      <w:r>
        <w:t xml:space="preserve"> if you </w:t>
      </w:r>
      <w:r w:rsidRPr="00A20413">
        <w:t>sponsor</w:t>
      </w:r>
      <w:r>
        <w:t xml:space="preserve"> networking drinks)</w:t>
      </w:r>
    </w:p>
    <w:p w14:paraId="5866CE72" w14:textId="6E1F8C47" w:rsidR="00A20413" w:rsidRDefault="00A20413" w:rsidP="00763CB4">
      <w:pPr>
        <w:pStyle w:val="ListBullet"/>
        <w:rPr>
          <w:b/>
        </w:rPr>
      </w:pPr>
    </w:p>
    <w:p w14:paraId="68EADB8D" w14:textId="46226E18" w:rsidR="00763CB4" w:rsidRPr="00763CB4" w:rsidRDefault="009D1E7B" w:rsidP="00763CB4">
      <w:pPr>
        <w:pStyle w:val="ListBullet"/>
        <w:rPr>
          <w:b/>
        </w:rPr>
      </w:pPr>
      <w:r>
        <w:rPr>
          <w:b/>
        </w:rPr>
        <w:br w:type="column"/>
      </w:r>
      <w:r w:rsidR="00763CB4" w:rsidRPr="00763CB4">
        <w:rPr>
          <w:b/>
        </w:rPr>
        <w:t xml:space="preserve">Costs </w:t>
      </w:r>
      <w:r w:rsidR="00234BA4">
        <w:rPr>
          <w:b/>
        </w:rPr>
        <w:t xml:space="preserve">associated with </w:t>
      </w:r>
      <w:r w:rsidR="00B559EF">
        <w:rPr>
          <w:b/>
        </w:rPr>
        <w:t>participating in your event through an event stand or designated space</w:t>
      </w:r>
    </w:p>
    <w:p w14:paraId="14F58F29" w14:textId="715E24E5" w:rsidR="00763CB4" w:rsidRDefault="008B7272" w:rsidP="00A20413">
      <w:pPr>
        <w:pStyle w:val="ListBullet"/>
        <w:numPr>
          <w:ilvl w:val="0"/>
          <w:numId w:val="31"/>
        </w:numPr>
      </w:pPr>
      <w:r>
        <w:t>Design, manufacture, shipping and set up costs for displays</w:t>
      </w:r>
    </w:p>
    <w:p w14:paraId="36EC7831" w14:textId="3E28A81C" w:rsidR="00B559EF" w:rsidRDefault="00B559EF" w:rsidP="00A20413">
      <w:pPr>
        <w:pStyle w:val="ListBullet"/>
        <w:numPr>
          <w:ilvl w:val="0"/>
          <w:numId w:val="31"/>
        </w:numPr>
      </w:pPr>
      <w:r>
        <w:t>Promotional material</w:t>
      </w:r>
      <w:r w:rsidR="00A20413">
        <w:t>,</w:t>
      </w:r>
      <w:r>
        <w:t xml:space="preserve"> </w:t>
      </w:r>
      <w:r w:rsidR="00CD4E24">
        <w:t>including s</w:t>
      </w:r>
      <w:r w:rsidR="00A20413">
        <w:t>ales collateral and merchandise</w:t>
      </w:r>
    </w:p>
    <w:p w14:paraId="7CDFDF6F" w14:textId="6A2BE181" w:rsidR="00CD4E24" w:rsidRDefault="00CD4E24" w:rsidP="00A20413">
      <w:pPr>
        <w:pStyle w:val="ListBullet"/>
        <w:numPr>
          <w:ilvl w:val="0"/>
          <w:numId w:val="31"/>
        </w:numPr>
      </w:pPr>
      <w:r>
        <w:t>Digital promotion, including the d</w:t>
      </w:r>
      <w:r w:rsidR="00A20413">
        <w:t>esign of audio visual material</w:t>
      </w:r>
    </w:p>
    <w:p w14:paraId="2B81D0B1" w14:textId="63338563" w:rsidR="008454C2" w:rsidRDefault="00234BA4" w:rsidP="00A20413">
      <w:pPr>
        <w:pStyle w:val="ListBullet"/>
        <w:numPr>
          <w:ilvl w:val="0"/>
          <w:numId w:val="31"/>
        </w:numPr>
      </w:pPr>
      <w:r>
        <w:t>Contractor</w:t>
      </w:r>
      <w:r w:rsidR="008454C2">
        <w:t xml:space="preserve"> costs associated with setting up </w:t>
      </w:r>
      <w:r>
        <w:t>the exhibit</w:t>
      </w:r>
      <w:r w:rsidR="00A20413">
        <w:t>, event stand or space</w:t>
      </w:r>
    </w:p>
    <w:p w14:paraId="2E2FE401" w14:textId="539960F0" w:rsidR="00234BA4" w:rsidRDefault="00234BA4" w:rsidP="00A20413">
      <w:pPr>
        <w:pStyle w:val="ListBullet"/>
        <w:numPr>
          <w:ilvl w:val="0"/>
          <w:numId w:val="31"/>
        </w:numPr>
      </w:pPr>
      <w:r>
        <w:t>Equipment hire costs</w:t>
      </w:r>
    </w:p>
    <w:p w14:paraId="6EDDAD61" w14:textId="77777777" w:rsidR="00A20413" w:rsidRDefault="00A20413" w:rsidP="00A20413"/>
    <w:p w14:paraId="140FAADB" w14:textId="77777777" w:rsidR="001E4530" w:rsidRPr="005B44B0" w:rsidRDefault="00F22256" w:rsidP="001E4530">
      <w:pPr>
        <w:pStyle w:val="Heading2"/>
      </w:pPr>
      <w:r>
        <w:t xml:space="preserve">What </w:t>
      </w:r>
      <w:r w:rsidRPr="00A20413">
        <w:t>evidence</w:t>
      </w:r>
      <w:r>
        <w:t xml:space="preserve"> of expenditure do I need to provide?</w:t>
      </w:r>
    </w:p>
    <w:p w14:paraId="381A4B88" w14:textId="77777777" w:rsidR="00234BA4" w:rsidRPr="00234BA4" w:rsidRDefault="00234BA4" w:rsidP="00383366">
      <w:pPr>
        <w:rPr>
          <w:b/>
        </w:rPr>
      </w:pPr>
      <w:r w:rsidRPr="00234BA4">
        <w:rPr>
          <w:b/>
        </w:rPr>
        <w:t>Event sponsorship</w:t>
      </w:r>
    </w:p>
    <w:p w14:paraId="63D06E2E" w14:textId="77777777" w:rsidR="00234BA4" w:rsidRDefault="00234BA4" w:rsidP="00383366">
      <w:r>
        <w:t>The grant can cover the market value of your sponsorship, up to $10,000</w:t>
      </w:r>
      <w:r w:rsidR="00B35373">
        <w:t>, equating to $20,000 in sponsorship expenditure</w:t>
      </w:r>
      <w:r>
        <w:t>.  You will need to provide a copy of your sponsorship prospectus and evidence of what you sponsored, for example your logo on the products you sponsored.</w:t>
      </w:r>
    </w:p>
    <w:p w14:paraId="3390BB26" w14:textId="77777777" w:rsidR="00A20413" w:rsidRDefault="00A20413" w:rsidP="00383366">
      <w:pPr>
        <w:rPr>
          <w:b/>
        </w:rPr>
      </w:pPr>
    </w:p>
    <w:p w14:paraId="4E1FC961" w14:textId="0C77BC12" w:rsidR="00234BA4" w:rsidRDefault="00234BA4" w:rsidP="00383366">
      <w:r w:rsidRPr="00763CB4">
        <w:rPr>
          <w:b/>
        </w:rPr>
        <w:t xml:space="preserve">Costs </w:t>
      </w:r>
      <w:r>
        <w:rPr>
          <w:b/>
        </w:rPr>
        <w:t xml:space="preserve">associated with </w:t>
      </w:r>
      <w:r w:rsidR="008B7272">
        <w:rPr>
          <w:b/>
        </w:rPr>
        <w:t xml:space="preserve">setting up an exhibit, event stand or </w:t>
      </w:r>
      <w:r w:rsidR="000666C6">
        <w:rPr>
          <w:b/>
        </w:rPr>
        <w:t xml:space="preserve">designated </w:t>
      </w:r>
      <w:r w:rsidR="008B7272">
        <w:rPr>
          <w:b/>
        </w:rPr>
        <w:t>space</w:t>
      </w:r>
    </w:p>
    <w:p w14:paraId="347D72F1" w14:textId="77777777" w:rsidR="00F22256" w:rsidRDefault="00F22256" w:rsidP="00383366">
      <w:r>
        <w:t>Where you have paid a third party to provide a good or service, the relevant tax invoice and receipt needs to be provided.</w:t>
      </w:r>
      <w:r w:rsidR="00234BA4">
        <w:t xml:space="preserve"> </w:t>
      </w:r>
    </w:p>
    <w:p w14:paraId="4BAF662F" w14:textId="2DF9A538" w:rsidR="00F22256" w:rsidRDefault="00F22256" w:rsidP="00383366">
      <w:r>
        <w:t>Where you are claiming in-kind costs incurred, and there is no tax invoice/receipt, for</w:t>
      </w:r>
      <w:r w:rsidR="00CD4E24">
        <w:t xml:space="preserve"> </w:t>
      </w:r>
      <w:r>
        <w:t xml:space="preserve">example, </w:t>
      </w:r>
      <w:r w:rsidR="008B7272">
        <w:t>an</w:t>
      </w:r>
      <w:r>
        <w:t xml:space="preserve"> exhibit space</w:t>
      </w:r>
      <w:r w:rsidR="008B7272">
        <w:t xml:space="preserve"> at your own event</w:t>
      </w:r>
      <w:r>
        <w:t>, you will need to provide alternative examples of expenditure.</w:t>
      </w:r>
    </w:p>
    <w:p w14:paraId="22F002BA" w14:textId="77777777" w:rsidR="00F22256" w:rsidRDefault="00F22256" w:rsidP="00383366">
      <w:r>
        <w:t>This could include, but is not limited to:</w:t>
      </w:r>
    </w:p>
    <w:p w14:paraId="6CA55164" w14:textId="77777777" w:rsidR="00F22256" w:rsidRDefault="00F22256" w:rsidP="009D1E7B">
      <w:pPr>
        <w:pStyle w:val="ListBullet"/>
        <w:numPr>
          <w:ilvl w:val="0"/>
          <w:numId w:val="31"/>
        </w:numPr>
      </w:pPr>
      <w:r>
        <w:lastRenderedPageBreak/>
        <w:t>Evidence of the market rental value of the exhibit space</w:t>
      </w:r>
    </w:p>
    <w:p w14:paraId="1D304F88" w14:textId="77777777" w:rsidR="00EB48A2" w:rsidRDefault="00F22256" w:rsidP="009D1E7B">
      <w:pPr>
        <w:pStyle w:val="ListBullet"/>
        <w:numPr>
          <w:ilvl w:val="0"/>
          <w:numId w:val="31"/>
        </w:numPr>
      </w:pPr>
      <w:r>
        <w:t>Any other relevant internal ledgers which demonstrate eligible in-kind expenditure</w:t>
      </w:r>
      <w:bookmarkStart w:id="1" w:name="_Toc164844265"/>
    </w:p>
    <w:bookmarkEnd w:id="1"/>
    <w:p w14:paraId="56EBB238" w14:textId="77777777" w:rsidR="00A20413" w:rsidRDefault="00A20413" w:rsidP="00A20413"/>
    <w:p w14:paraId="50C8146E" w14:textId="2B20EC01" w:rsidR="00C57E8E" w:rsidRPr="005B44B0" w:rsidRDefault="00C57E8E" w:rsidP="00C57E8E">
      <w:pPr>
        <w:pStyle w:val="Heading2"/>
      </w:pPr>
      <w:r>
        <w:t xml:space="preserve">What </w:t>
      </w:r>
      <w:r w:rsidR="00A20413">
        <w:t>is ineligible</w:t>
      </w:r>
      <w:r>
        <w:t xml:space="preserve">? </w:t>
      </w:r>
    </w:p>
    <w:p w14:paraId="26C49DC6" w14:textId="1674A3EE" w:rsidR="00C57E8E" w:rsidRDefault="00A20413" w:rsidP="00C57E8E">
      <w:r>
        <w:t>You canno</w:t>
      </w:r>
      <w:r w:rsidR="00C57E8E">
        <w:t>t apply for general costs associated with running your event (operational event expenses).  These costs need to be met by your organisation, or through your normal means of funding.</w:t>
      </w:r>
    </w:p>
    <w:p w14:paraId="5FE5784A" w14:textId="77777777" w:rsidR="00C57E8E" w:rsidRDefault="00C57E8E" w:rsidP="00C57E8E">
      <w:r>
        <w:t>Any applications applying for operational event expenses will be deemed ineligible as these expenses are not eligible under the Grant Opportunity Guidelines.</w:t>
      </w:r>
    </w:p>
    <w:p w14:paraId="0144940A" w14:textId="64B54742" w:rsidR="00C57E8E" w:rsidRDefault="00C57E8E" w:rsidP="00C57E8E">
      <w:r>
        <w:t>Operational event expenses include</w:t>
      </w:r>
      <w:r w:rsidR="00A20413">
        <w:t>,</w:t>
      </w:r>
      <w:r>
        <w:t xml:space="preserve"> but </w:t>
      </w:r>
      <w:r w:rsidR="00A20413">
        <w:t>is</w:t>
      </w:r>
      <w:r>
        <w:t xml:space="preserve"> not limited to</w:t>
      </w:r>
      <w:r w:rsidR="00A20413">
        <w:t>:</w:t>
      </w:r>
      <w:r>
        <w:t xml:space="preserve"> venue hire, catering for delegates, advertising, cleaning, security, staff costs, team building or other activities that are part of the general running of the event.</w:t>
      </w:r>
    </w:p>
    <w:p w14:paraId="3EEFFF5A" w14:textId="77777777" w:rsidR="00C57E8E" w:rsidRDefault="00C57E8E" w:rsidP="00C57E8E">
      <w:r>
        <w:t>Event owners cannot claim travel and accommodation expenses for staff involved with the general running of the event.</w:t>
      </w:r>
    </w:p>
    <w:p w14:paraId="1080D761" w14:textId="64534E28" w:rsidR="00383366" w:rsidRDefault="00C57E8E" w:rsidP="00C57E8E">
      <w:r>
        <w:t xml:space="preserve">The grant also cannot be used to purchase assets for exhibits.  For example, you cannot use grant funds to purchase monitors, </w:t>
      </w:r>
      <w:r w:rsidR="00A20413">
        <w:t>televisions,</w:t>
      </w:r>
      <w:r>
        <w:t xml:space="preserve"> or furniture that you intend to use at the event stand or designated space.</w:t>
      </w:r>
    </w:p>
    <w:p w14:paraId="744FB7CB" w14:textId="102606EC" w:rsidR="00A20413" w:rsidRDefault="00A20413" w:rsidP="00C57E8E"/>
    <w:p w14:paraId="04D097DB" w14:textId="77777777" w:rsidR="00A20413" w:rsidRPr="00576309" w:rsidRDefault="00A20413" w:rsidP="00A20413">
      <w:pPr>
        <w:pStyle w:val="Heading2"/>
      </w:pPr>
      <w:r w:rsidRPr="00B836C9">
        <w:t>Need more information?</w:t>
      </w:r>
    </w:p>
    <w:p w14:paraId="1AE57D52" w14:textId="6AEA4572" w:rsidR="00A20413" w:rsidRDefault="00A20413" w:rsidP="00A20413">
      <w:r>
        <w:t xml:space="preserve">For more information, visit </w:t>
      </w:r>
      <w:hyperlink r:id="rId13" w:history="1">
        <w:r w:rsidRPr="0049204F">
          <w:rPr>
            <w:rStyle w:val="Hyperlink"/>
          </w:rPr>
          <w:t>business.gov.au</w:t>
        </w:r>
      </w:hyperlink>
      <w:r>
        <w:t xml:space="preserve"> or call 13 28 46. More in depth face-to-face</w:t>
      </w:r>
      <w:r w:rsidRPr="00A20413">
        <w:t xml:space="preserve"> </w:t>
      </w:r>
      <w:r>
        <w:t xml:space="preserve">assistance is also available from </w:t>
      </w:r>
      <w:proofErr w:type="spellStart"/>
      <w:r>
        <w:t>AusIndustry’s</w:t>
      </w:r>
      <w:proofErr w:type="spellEnd"/>
      <w:r>
        <w:t xml:space="preserve"> national network.</w:t>
      </w:r>
    </w:p>
    <w:p w14:paraId="657DD0BC" w14:textId="77777777" w:rsidR="009D1E7B" w:rsidRDefault="009D1E7B" w:rsidP="00A20413"/>
    <w:p w14:paraId="26BDB070" w14:textId="77777777" w:rsidR="009D1E7B" w:rsidRDefault="009D1E7B" w:rsidP="00A20413"/>
    <w:p w14:paraId="562680FE" w14:textId="77777777" w:rsidR="009D1E7B" w:rsidRDefault="009D1E7B" w:rsidP="00A20413"/>
    <w:p w14:paraId="1E2F74FB" w14:textId="77777777" w:rsidR="009D1E7B" w:rsidRDefault="009D1E7B" w:rsidP="00A20413"/>
    <w:p w14:paraId="1DA77975" w14:textId="77777777" w:rsidR="009D1E7B" w:rsidRDefault="009D1E7B" w:rsidP="00A20413"/>
    <w:p w14:paraId="3CEB40CA" w14:textId="77777777" w:rsidR="009D1E7B" w:rsidRDefault="009D1E7B" w:rsidP="00A20413"/>
    <w:p w14:paraId="28216392" w14:textId="77777777" w:rsidR="009D1E7B" w:rsidRDefault="009D1E7B" w:rsidP="00A20413"/>
    <w:p w14:paraId="23F597E1" w14:textId="77777777" w:rsidR="009D1E7B" w:rsidRDefault="009D1E7B" w:rsidP="00A20413"/>
    <w:p w14:paraId="1FD0634A" w14:textId="77777777" w:rsidR="009D1E7B" w:rsidRDefault="009D1E7B" w:rsidP="00A20413"/>
    <w:p w14:paraId="187DCB7A" w14:textId="77777777" w:rsidR="009D1E7B" w:rsidRDefault="009D1E7B" w:rsidP="00A20413"/>
    <w:p w14:paraId="2CF3C6A3" w14:textId="77777777" w:rsidR="009D1E7B" w:rsidRDefault="009D1E7B" w:rsidP="00A20413"/>
    <w:p w14:paraId="1F18215A" w14:textId="77777777" w:rsidR="009D1E7B" w:rsidRDefault="009D1E7B" w:rsidP="00A20413"/>
    <w:p w14:paraId="7BC42DC4" w14:textId="77777777" w:rsidR="009D1E7B" w:rsidRDefault="009D1E7B" w:rsidP="00A20413"/>
    <w:p w14:paraId="301CC19F" w14:textId="77777777" w:rsidR="009D1E7B" w:rsidRDefault="009D1E7B" w:rsidP="00A20413"/>
    <w:p w14:paraId="5A3CCFB2" w14:textId="77777777" w:rsidR="009D1E7B" w:rsidRDefault="009D1E7B" w:rsidP="00A20413"/>
    <w:p w14:paraId="69F8BED2" w14:textId="77777777" w:rsidR="009D1E7B" w:rsidRDefault="009D1E7B" w:rsidP="00A20413"/>
    <w:p w14:paraId="06BD725B" w14:textId="77777777" w:rsidR="009D1E7B" w:rsidRDefault="009D1E7B" w:rsidP="00A20413"/>
    <w:p w14:paraId="2CD8CE66" w14:textId="77777777" w:rsidR="009D1E7B" w:rsidRDefault="009D1E7B" w:rsidP="00A20413"/>
    <w:p w14:paraId="1472E185" w14:textId="77777777" w:rsidR="009D1E7B" w:rsidRDefault="009D1E7B" w:rsidP="00A20413"/>
    <w:p w14:paraId="16426337" w14:textId="77777777" w:rsidR="009D1E7B" w:rsidRDefault="009D1E7B" w:rsidP="00A20413"/>
    <w:p w14:paraId="0BE4FBCB" w14:textId="77777777" w:rsidR="009D1E7B" w:rsidRDefault="009D1E7B" w:rsidP="00A20413"/>
    <w:p w14:paraId="6A9C40CF" w14:textId="77777777" w:rsidR="009D1E7B" w:rsidRDefault="009D1E7B" w:rsidP="00A20413"/>
    <w:p w14:paraId="076F2988" w14:textId="77777777" w:rsidR="009D1E7B" w:rsidRDefault="009D1E7B" w:rsidP="00A20413"/>
    <w:p w14:paraId="4E990233" w14:textId="77777777" w:rsidR="009D1E7B" w:rsidRDefault="009D1E7B" w:rsidP="00A20413"/>
    <w:p w14:paraId="5EF6366B" w14:textId="77777777" w:rsidR="009D1E7B" w:rsidRDefault="009D1E7B" w:rsidP="00A20413"/>
    <w:p w14:paraId="2692832F" w14:textId="77777777" w:rsidR="009D1E7B" w:rsidRDefault="009D1E7B" w:rsidP="00A20413"/>
    <w:p w14:paraId="5DBF7385" w14:textId="77777777" w:rsidR="009D1E7B" w:rsidRDefault="009D1E7B" w:rsidP="00A20413"/>
    <w:p w14:paraId="14BFA02B" w14:textId="77777777" w:rsidR="009D1E7B" w:rsidRDefault="009D1E7B" w:rsidP="00A20413"/>
    <w:p w14:paraId="167045D9" w14:textId="77777777" w:rsidR="009D1E7B" w:rsidRDefault="009D1E7B" w:rsidP="00A20413"/>
    <w:p w14:paraId="6C346075" w14:textId="77777777" w:rsidR="009D1E7B" w:rsidRDefault="009D1E7B" w:rsidP="00A20413">
      <w:pPr>
        <w:sectPr w:rsidR="009D1E7B" w:rsidSect="00D70C34">
          <w:type w:val="continuous"/>
          <w:pgSz w:w="11906" w:h="16838" w:code="9"/>
          <w:pgMar w:top="1418" w:right="1418" w:bottom="1418" w:left="1418" w:header="709" w:footer="709" w:gutter="0"/>
          <w:cols w:num="2" w:space="706"/>
          <w:formProt w:val="0"/>
          <w:docGrid w:linePitch="360"/>
        </w:sectPr>
      </w:pPr>
    </w:p>
    <w:p w14:paraId="1FD02B9E" w14:textId="515E5C4A" w:rsidR="00A20413" w:rsidRDefault="00A20413" w:rsidP="00A20413"/>
    <w:p w14:paraId="4B55738F" w14:textId="77777777" w:rsidR="009D1E7B" w:rsidRDefault="009D1E7B" w:rsidP="00A20413"/>
    <w:p w14:paraId="2B98616B" w14:textId="77777777" w:rsidR="009D1E7B" w:rsidRDefault="009D1E7B" w:rsidP="00A20413"/>
    <w:p w14:paraId="593CBF9C" w14:textId="77777777" w:rsidR="009D1E7B" w:rsidRDefault="009D1E7B" w:rsidP="00A20413"/>
    <w:p w14:paraId="5ADA6FC6" w14:textId="77777777" w:rsidR="009D1E7B" w:rsidRDefault="009D1E7B" w:rsidP="00A20413"/>
    <w:p w14:paraId="029FE122" w14:textId="77777777" w:rsidR="009D1E7B" w:rsidRDefault="009D1E7B" w:rsidP="00A20413"/>
    <w:sectPr w:rsidR="009D1E7B" w:rsidSect="009D1E7B">
      <w:type w:val="continuous"/>
      <w:pgSz w:w="11906" w:h="16838" w:code="9"/>
      <w:pgMar w:top="1418" w:right="1418" w:bottom="1418" w:left="1418" w:header="709" w:footer="709" w:gutter="0"/>
      <w:cols w:space="70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8130B" w14:textId="77777777" w:rsidR="00FF11B9" w:rsidRDefault="00FF11B9" w:rsidP="00383366">
      <w:pPr>
        <w:spacing w:before="0" w:after="0" w:line="240" w:lineRule="auto"/>
      </w:pPr>
      <w:r>
        <w:separator/>
      </w:r>
    </w:p>
  </w:endnote>
  <w:endnote w:type="continuationSeparator" w:id="0">
    <w:p w14:paraId="60CBBA94" w14:textId="77777777" w:rsidR="00FF11B9" w:rsidRDefault="00FF11B9" w:rsidP="00383366">
      <w:pPr>
        <w:spacing w:before="0" w:after="0" w:line="240" w:lineRule="auto"/>
      </w:pPr>
      <w:r>
        <w:continuationSeparator/>
      </w:r>
    </w:p>
  </w:endnote>
  <w:endnote w:id="1">
    <w:p w14:paraId="742D7C07" w14:textId="77777777" w:rsidR="009D1E7B" w:rsidRDefault="009D1E7B" w:rsidP="009D1E7B">
      <w:pPr>
        <w:pStyle w:val="EndnoteText"/>
      </w:pPr>
      <w:r w:rsidRPr="00DE595C">
        <w:rPr>
          <w:rStyle w:val="EndnoteReference"/>
        </w:rPr>
        <w:t>^</w:t>
      </w:r>
      <w:r w:rsidRPr="00DE595C">
        <w:t xml:space="preserve"> </w:t>
      </w:r>
      <w:r w:rsidRPr="00DE595C">
        <w:rPr>
          <w:sz w:val="16"/>
        </w:rPr>
        <w:t>Austrade’s CEO, or their delegate, makes the final decision on what is eligible expenditure and may give additional guidance on eligible expenditure if required.</w:t>
      </w:r>
    </w:p>
  </w:endnote>
  <w:endnote w:id="2">
    <w:p w14:paraId="4E8FD625" w14:textId="77777777" w:rsidR="009D1E7B" w:rsidRPr="006B2A03" w:rsidRDefault="009D1E7B" w:rsidP="009D1E7B">
      <w:pPr>
        <w:pStyle w:val="EndnoteText"/>
        <w:rPr>
          <w:sz w:val="16"/>
          <w:szCs w:val="16"/>
        </w:rPr>
      </w:pPr>
      <w:r>
        <w:rPr>
          <w:rStyle w:val="EndnoteReference"/>
        </w:rPr>
        <w:t>*</w:t>
      </w:r>
      <w:r>
        <w:t xml:space="preserve"> </w:t>
      </w:r>
      <w:r w:rsidRPr="006B2A03">
        <w:rPr>
          <w:sz w:val="16"/>
          <w:szCs w:val="16"/>
        </w:rPr>
        <w:t xml:space="preserve">Domestic travel limited to the reasonable cost of accommodation and transportation required to conduct agreed project and collaboration activities in Australia. The reimbursement will be in line with the </w:t>
      </w:r>
      <w:hyperlink r:id="rId1" w:history="1">
        <w:r w:rsidRPr="006B2A03">
          <w:rPr>
            <w:rStyle w:val="Hyperlink"/>
            <w:rFonts w:eastAsiaTheme="majorEastAsia"/>
            <w:sz w:val="16"/>
            <w:szCs w:val="16"/>
          </w:rPr>
          <w:t>Australian Government accommodation and domestic air travel rates</w:t>
        </w:r>
      </w:hyperlink>
      <w:r w:rsidRPr="006B2A03">
        <w:rPr>
          <w:sz w:val="16"/>
          <w:szCs w:val="16"/>
        </w:rPr>
        <w:t xml:space="preserve"> for economy travel (see A3)</w:t>
      </w:r>
      <w:r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charset w:val="00"/>
    <w:family w:val="swiss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AFA42" w14:textId="5FEF9598" w:rsidR="004A007E" w:rsidRDefault="00A20413" w:rsidP="00D26938">
    <w:pPr>
      <w:pStyle w:val="Footer"/>
      <w:tabs>
        <w:tab w:val="clear" w:pos="6096"/>
        <w:tab w:val="center" w:pos="4536"/>
      </w:tabs>
      <w:rPr>
        <w:noProof/>
      </w:rPr>
    </w:pPr>
    <w:r>
      <w:rPr>
        <w:noProof/>
      </w:rPr>
      <w:t>Business Events Grant Program</w:t>
    </w:r>
  </w:p>
  <w:p w14:paraId="272F79B7" w14:textId="0B7D3D92" w:rsidR="004A007E" w:rsidRPr="00D70C34" w:rsidRDefault="00B35373" w:rsidP="00D26938">
    <w:pPr>
      <w:pStyle w:val="Footer"/>
      <w:tabs>
        <w:tab w:val="clear" w:pos="6096"/>
        <w:tab w:val="center" w:pos="4536"/>
      </w:tabs>
      <w:rPr>
        <w:noProof/>
      </w:rPr>
    </w:pPr>
    <w:r>
      <w:t>Factsheet</w:t>
    </w:r>
    <w:r w:rsidR="004A007E" w:rsidRPr="002F517E">
      <w:tab/>
    </w:r>
    <w:r w:rsidR="00A20413">
      <w:t>February 2021</w:t>
    </w:r>
    <w:r w:rsidR="004A007E" w:rsidRPr="002F517E">
      <w:tab/>
    </w:r>
    <w:r w:rsidR="004A007E" w:rsidRPr="002F517E">
      <w:fldChar w:fldCharType="begin"/>
    </w:r>
    <w:r w:rsidR="004A007E" w:rsidRPr="002F517E">
      <w:instrText xml:space="preserve"> PAGE  \* Arabic  \* MERGEFORMAT </w:instrText>
    </w:r>
    <w:r w:rsidR="004A007E" w:rsidRPr="002F517E">
      <w:fldChar w:fldCharType="separate"/>
    </w:r>
    <w:r w:rsidR="00D63C17">
      <w:rPr>
        <w:noProof/>
      </w:rPr>
      <w:t>2</w:t>
    </w:r>
    <w:r w:rsidR="004A007E" w:rsidRPr="002F517E">
      <w:fldChar w:fldCharType="end"/>
    </w:r>
    <w:r w:rsidR="004A007E" w:rsidRPr="002F517E">
      <w:t xml:space="preserve"> of </w:t>
    </w:r>
    <w:r w:rsidR="004A007E">
      <w:rPr>
        <w:noProof/>
      </w:rPr>
      <w:fldChar w:fldCharType="begin"/>
    </w:r>
    <w:r w:rsidR="004A007E">
      <w:rPr>
        <w:noProof/>
      </w:rPr>
      <w:instrText xml:space="preserve"> NUMPAGES  \* Arabic  \* MERGEFORMAT </w:instrText>
    </w:r>
    <w:r w:rsidR="004A007E">
      <w:rPr>
        <w:noProof/>
      </w:rPr>
      <w:fldChar w:fldCharType="separate"/>
    </w:r>
    <w:r w:rsidR="00D63C17">
      <w:rPr>
        <w:noProof/>
      </w:rPr>
      <w:t>2</w:t>
    </w:r>
    <w:r w:rsidR="004A007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D7618" w14:textId="3E72430B" w:rsidR="004A007E" w:rsidRDefault="00B35373" w:rsidP="00D26938">
    <w:pPr>
      <w:pStyle w:val="Footer"/>
      <w:tabs>
        <w:tab w:val="clear" w:pos="6096"/>
        <w:tab w:val="center" w:pos="4536"/>
      </w:tabs>
      <w:rPr>
        <w:noProof/>
      </w:rPr>
    </w:pPr>
    <w:r>
      <w:rPr>
        <w:noProof/>
      </w:rPr>
      <w:t>Business Events Grant</w:t>
    </w:r>
    <w:r w:rsidR="00A20413">
      <w:rPr>
        <w:noProof/>
      </w:rPr>
      <w:t xml:space="preserve"> Program</w:t>
    </w:r>
  </w:p>
  <w:p w14:paraId="20A83463" w14:textId="185F331C" w:rsidR="004A007E" w:rsidRPr="00D70C34" w:rsidRDefault="004A007E" w:rsidP="00D26938">
    <w:pPr>
      <w:pStyle w:val="Footer"/>
      <w:tabs>
        <w:tab w:val="clear" w:pos="6096"/>
        <w:tab w:val="center" w:pos="4536"/>
      </w:tabs>
      <w:rPr>
        <w:noProof/>
      </w:rPr>
    </w:pPr>
    <w:r>
      <w:t>Factsheet</w:t>
    </w:r>
    <w:r w:rsidRPr="002F517E">
      <w:tab/>
    </w:r>
    <w:r w:rsidR="00A20413">
      <w:t>February</w:t>
    </w:r>
    <w:r w:rsidR="00B35373">
      <w:t xml:space="preserve"> 2021</w:t>
    </w:r>
    <w:r w:rsidRPr="002F517E">
      <w:tab/>
    </w:r>
    <w:r w:rsidRPr="002F517E">
      <w:fldChar w:fldCharType="begin"/>
    </w:r>
    <w:r w:rsidRPr="002F517E">
      <w:instrText xml:space="preserve"> PAGE  \* Arabic  \* MERGEFORMAT </w:instrText>
    </w:r>
    <w:r w:rsidRPr="002F517E">
      <w:fldChar w:fldCharType="separate"/>
    </w:r>
    <w:r w:rsidR="00D63C17">
      <w:rPr>
        <w:noProof/>
      </w:rPr>
      <w:t>1</w:t>
    </w:r>
    <w:r w:rsidRPr="002F517E">
      <w:fldChar w:fldCharType="end"/>
    </w:r>
    <w:r w:rsidRPr="002F517E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D63C1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45D43" w14:textId="77777777" w:rsidR="00FF11B9" w:rsidRDefault="00FF11B9" w:rsidP="00383366">
      <w:pPr>
        <w:spacing w:before="0" w:after="0" w:line="240" w:lineRule="auto"/>
      </w:pPr>
      <w:r>
        <w:separator/>
      </w:r>
    </w:p>
  </w:footnote>
  <w:footnote w:type="continuationSeparator" w:id="0">
    <w:p w14:paraId="5E8D7347" w14:textId="77777777" w:rsidR="00FF11B9" w:rsidRDefault="00FF11B9" w:rsidP="003833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4BF3B" w14:textId="77777777" w:rsidR="004A007E" w:rsidRDefault="004A007E" w:rsidP="00D26938">
    <w:pPr>
      <w:spacing w:before="0" w:after="0" w:line="240" w:lineRule="auto"/>
      <w:rPr>
        <w:iCs/>
        <w:szCs w:val="24"/>
      </w:rPr>
    </w:pPr>
  </w:p>
  <w:p w14:paraId="4AC8E6DE" w14:textId="77777777" w:rsidR="004A007E" w:rsidRPr="00D26938" w:rsidRDefault="00034A01" w:rsidP="00D26938">
    <w:pPr>
      <w:spacing w:before="0" w:after="0" w:line="240" w:lineRule="auto"/>
      <w:rPr>
        <w:iCs/>
        <w:szCs w:val="24"/>
      </w:rPr>
    </w:pPr>
    <w:r>
      <w:rPr>
        <w:iCs/>
        <w:noProof/>
        <w:szCs w:val="24"/>
        <w:lang w:eastAsia="en-AU"/>
      </w:rPr>
      <w:drawing>
        <wp:inline distT="0" distB="0" distL="0" distR="0" wp14:anchorId="3A2DBA3B" wp14:editId="367E903F">
          <wp:extent cx="5580899" cy="835154"/>
          <wp:effectExtent l="0" t="0" r="1270" b="3175"/>
          <wp:docPr id="1" name="Picture 1" descr="Australian Government, Department of Industry, Science, Energy and Resources | Australian Trade and Investment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ER-JointDept-inline_Australian Trade and Investment Commis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899" cy="835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4DA17A" w14:textId="77777777" w:rsidR="004A007E" w:rsidRPr="00D26938" w:rsidRDefault="004A007E" w:rsidP="00A20413">
    <w:pPr>
      <w:pStyle w:val="Title"/>
      <w:ind w:firstLine="993"/>
    </w:pPr>
    <w:r>
      <w:t>Factsheet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54F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F4B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C0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B07F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6E0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B6E7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DCA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E4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D43BE"/>
    <w:multiLevelType w:val="hybridMultilevel"/>
    <w:tmpl w:val="58C279AA"/>
    <w:lvl w:ilvl="0" w:tplc="DDFEF5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136917"/>
    <w:multiLevelType w:val="hybridMultilevel"/>
    <w:tmpl w:val="54BE580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CB7F43"/>
    <w:multiLevelType w:val="hybridMultilevel"/>
    <w:tmpl w:val="1F76748E"/>
    <w:lvl w:ilvl="0" w:tplc="845C53F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5157"/>
    <w:multiLevelType w:val="hybridMultilevel"/>
    <w:tmpl w:val="D32CD7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5A3ADA"/>
    <w:multiLevelType w:val="multilevel"/>
    <w:tmpl w:val="CAF015C0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5" w15:restartNumberingAfterBreak="0">
    <w:nsid w:val="578F409F"/>
    <w:multiLevelType w:val="hybridMultilevel"/>
    <w:tmpl w:val="C2BC56CE"/>
    <w:lvl w:ilvl="0" w:tplc="0658D0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695F9D"/>
    <w:multiLevelType w:val="hybridMultilevel"/>
    <w:tmpl w:val="D5CA61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88334F"/>
    <w:multiLevelType w:val="multilevel"/>
    <w:tmpl w:val="A82C44B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18" w15:restartNumberingAfterBreak="0">
    <w:nsid w:val="6CBC294C"/>
    <w:multiLevelType w:val="multilevel"/>
    <w:tmpl w:val="57BE8EAE"/>
    <w:lvl w:ilvl="0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19" w15:restartNumberingAfterBreak="0">
    <w:nsid w:val="70DA19D0"/>
    <w:multiLevelType w:val="multilevel"/>
    <w:tmpl w:val="52FAC7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68CC"/>
        <w:w w:val="100"/>
        <w:sz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709"/>
        </w:tabs>
        <w:ind w:left="709" w:hanging="142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9"/>
  </w:num>
  <w:num w:numId="7">
    <w:abstractNumId w:val="18"/>
  </w:num>
  <w:num w:numId="8">
    <w:abstractNumId w:val="8"/>
  </w:num>
  <w:num w:numId="9">
    <w:abstractNumId w:val="17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8"/>
  </w:num>
  <w:num w:numId="16">
    <w:abstractNumId w:val="17"/>
  </w:num>
  <w:num w:numId="17">
    <w:abstractNumId w:val="19"/>
  </w:num>
  <w:num w:numId="18">
    <w:abstractNumId w:val="10"/>
  </w:num>
  <w:num w:numId="19">
    <w:abstractNumId w:val="12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6"/>
  </w:num>
  <w:num w:numId="30">
    <w:abstractNumId w:val="1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66"/>
    <w:rsid w:val="00034A01"/>
    <w:rsid w:val="0006134D"/>
    <w:rsid w:val="000666C6"/>
    <w:rsid w:val="00081BDF"/>
    <w:rsid w:val="00092EA0"/>
    <w:rsid w:val="00094C8B"/>
    <w:rsid w:val="000A1678"/>
    <w:rsid w:val="000C7695"/>
    <w:rsid w:val="001709E2"/>
    <w:rsid w:val="001D0D3F"/>
    <w:rsid w:val="001D3521"/>
    <w:rsid w:val="001D6CDF"/>
    <w:rsid w:val="001E0D3B"/>
    <w:rsid w:val="001E4530"/>
    <w:rsid w:val="001E6CB2"/>
    <w:rsid w:val="001F14FF"/>
    <w:rsid w:val="00200493"/>
    <w:rsid w:val="002331A6"/>
    <w:rsid w:val="00234BA4"/>
    <w:rsid w:val="0025291F"/>
    <w:rsid w:val="002547B7"/>
    <w:rsid w:val="00277574"/>
    <w:rsid w:val="00286D5D"/>
    <w:rsid w:val="002C36C8"/>
    <w:rsid w:val="002C75B9"/>
    <w:rsid w:val="002D3590"/>
    <w:rsid w:val="002D6B36"/>
    <w:rsid w:val="002F517E"/>
    <w:rsid w:val="00304936"/>
    <w:rsid w:val="00313A5C"/>
    <w:rsid w:val="00340B76"/>
    <w:rsid w:val="00350CCC"/>
    <w:rsid w:val="00383366"/>
    <w:rsid w:val="003A15FD"/>
    <w:rsid w:val="003B6483"/>
    <w:rsid w:val="003C2DB9"/>
    <w:rsid w:val="00427FC9"/>
    <w:rsid w:val="00430C7C"/>
    <w:rsid w:val="00435E65"/>
    <w:rsid w:val="00476D9E"/>
    <w:rsid w:val="0048126F"/>
    <w:rsid w:val="00485A1E"/>
    <w:rsid w:val="0049204F"/>
    <w:rsid w:val="004A007E"/>
    <w:rsid w:val="004E1BFE"/>
    <w:rsid w:val="00501E4E"/>
    <w:rsid w:val="00556936"/>
    <w:rsid w:val="005D1427"/>
    <w:rsid w:val="005D14B1"/>
    <w:rsid w:val="005D153D"/>
    <w:rsid w:val="005E36CF"/>
    <w:rsid w:val="005E7490"/>
    <w:rsid w:val="005F399C"/>
    <w:rsid w:val="00664B8F"/>
    <w:rsid w:val="00667D34"/>
    <w:rsid w:val="006A4D71"/>
    <w:rsid w:val="006B5DDF"/>
    <w:rsid w:val="00713AB7"/>
    <w:rsid w:val="00763CB4"/>
    <w:rsid w:val="00793A2E"/>
    <w:rsid w:val="007B2D38"/>
    <w:rsid w:val="007B3299"/>
    <w:rsid w:val="008136E3"/>
    <w:rsid w:val="008176CA"/>
    <w:rsid w:val="00823BCF"/>
    <w:rsid w:val="008454C2"/>
    <w:rsid w:val="008473AD"/>
    <w:rsid w:val="008843EF"/>
    <w:rsid w:val="00897DE5"/>
    <w:rsid w:val="008A4C44"/>
    <w:rsid w:val="008A754B"/>
    <w:rsid w:val="008B7272"/>
    <w:rsid w:val="008D60B6"/>
    <w:rsid w:val="008E6FCC"/>
    <w:rsid w:val="008F6E50"/>
    <w:rsid w:val="00913859"/>
    <w:rsid w:val="00922FB3"/>
    <w:rsid w:val="00923EB3"/>
    <w:rsid w:val="00924B1F"/>
    <w:rsid w:val="00956E9B"/>
    <w:rsid w:val="009968EB"/>
    <w:rsid w:val="009B14EB"/>
    <w:rsid w:val="009C583F"/>
    <w:rsid w:val="009D1E7B"/>
    <w:rsid w:val="009E3B91"/>
    <w:rsid w:val="009F75AC"/>
    <w:rsid w:val="00A066E4"/>
    <w:rsid w:val="00A20413"/>
    <w:rsid w:val="00A2707E"/>
    <w:rsid w:val="00A3727B"/>
    <w:rsid w:val="00A477E0"/>
    <w:rsid w:val="00AA30AE"/>
    <w:rsid w:val="00AF5CA9"/>
    <w:rsid w:val="00AF68B4"/>
    <w:rsid w:val="00B051E0"/>
    <w:rsid w:val="00B06787"/>
    <w:rsid w:val="00B15E96"/>
    <w:rsid w:val="00B2647D"/>
    <w:rsid w:val="00B35373"/>
    <w:rsid w:val="00B559EF"/>
    <w:rsid w:val="00B747BC"/>
    <w:rsid w:val="00B800D1"/>
    <w:rsid w:val="00BD158D"/>
    <w:rsid w:val="00BD35E0"/>
    <w:rsid w:val="00C04C61"/>
    <w:rsid w:val="00C062C1"/>
    <w:rsid w:val="00C57E8E"/>
    <w:rsid w:val="00C62F4A"/>
    <w:rsid w:val="00CC6BEF"/>
    <w:rsid w:val="00CD4E24"/>
    <w:rsid w:val="00CE30A7"/>
    <w:rsid w:val="00D14DC0"/>
    <w:rsid w:val="00D26938"/>
    <w:rsid w:val="00D32946"/>
    <w:rsid w:val="00D51D3F"/>
    <w:rsid w:val="00D63C17"/>
    <w:rsid w:val="00D70C34"/>
    <w:rsid w:val="00D72B55"/>
    <w:rsid w:val="00DD1DA9"/>
    <w:rsid w:val="00DD2BD6"/>
    <w:rsid w:val="00E51523"/>
    <w:rsid w:val="00E67FE7"/>
    <w:rsid w:val="00E85673"/>
    <w:rsid w:val="00EB48A2"/>
    <w:rsid w:val="00EE5DEB"/>
    <w:rsid w:val="00F17F75"/>
    <w:rsid w:val="00F22256"/>
    <w:rsid w:val="00FA622E"/>
    <w:rsid w:val="00FB54A8"/>
    <w:rsid w:val="00FE0307"/>
    <w:rsid w:val="00FE1B82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8D42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A6"/>
    <w:pPr>
      <w:spacing w:before="40" w:after="120" w:line="24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5CA9"/>
    <w:pPr>
      <w:spacing w:before="240" w:after="240" w:line="280" w:lineRule="atLeast"/>
      <w:contextualSpacing/>
      <w:outlineLvl w:val="0"/>
    </w:pPr>
    <w:rPr>
      <w:rFonts w:eastAsiaTheme="majorEastAsia" w:cstheme="majorBidi"/>
      <w:b/>
      <w:bCs/>
      <w:color w:val="C62C2A"/>
      <w:kern w:val="28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E4530"/>
    <w:pPr>
      <w:keepNext/>
      <w:tabs>
        <w:tab w:val="left" w:pos="1134"/>
      </w:tabs>
      <w:spacing w:before="240" w:after="240"/>
      <w:outlineLvl w:val="1"/>
    </w:pPr>
    <w:rPr>
      <w:rFonts w:cs="Arial"/>
      <w:bCs/>
      <w:iCs/>
      <w:color w:val="264F90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E0307"/>
    <w:pPr>
      <w:keepNext/>
      <w:numPr>
        <w:numId w:val="19"/>
      </w:numPr>
      <w:spacing w:before="200"/>
      <w:ind w:left="357" w:hanging="357"/>
      <w:outlineLvl w:val="2"/>
    </w:pPr>
    <w:rPr>
      <w:bCs/>
      <w:color w:val="264F90"/>
      <w:sz w:val="22"/>
    </w:rPr>
  </w:style>
  <w:style w:type="paragraph" w:styleId="Heading4">
    <w:name w:val="heading 4"/>
    <w:basedOn w:val="Heading3"/>
    <w:next w:val="Normal"/>
    <w:link w:val="Heading4Char"/>
    <w:autoRedefine/>
    <w:qFormat/>
    <w:rsid w:val="00556936"/>
    <w:pPr>
      <w:numPr>
        <w:ilvl w:val="3"/>
      </w:numPr>
      <w:spacing w:line="240" w:lineRule="exact"/>
      <w:jc w:val="both"/>
      <w:outlineLvl w:val="3"/>
    </w:pPr>
    <w:rPr>
      <w:rFonts w:eastAsia="MS Mincho" w:cs="TimesNewRoman"/>
      <w:szCs w:val="20"/>
    </w:rPr>
  </w:style>
  <w:style w:type="paragraph" w:styleId="Heading5">
    <w:name w:val="heading 5"/>
    <w:basedOn w:val="Heading4"/>
    <w:next w:val="Normal"/>
    <w:link w:val="Heading5Char"/>
    <w:qFormat/>
    <w:rsid w:val="00556936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556936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56936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56936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556936"/>
    <w:pPr>
      <w:spacing w:before="60" w:after="60"/>
    </w:pPr>
    <w:rPr>
      <w:b/>
      <w:color w:val="FFFFFF" w:themeColor="background1"/>
      <w:sz w:val="24"/>
    </w:rPr>
  </w:style>
  <w:style w:type="paragraph" w:customStyle="1" w:styleId="Normalitalics">
    <w:name w:val="Normal + italics"/>
    <w:basedOn w:val="Normal"/>
    <w:qFormat/>
    <w:rsid w:val="00556936"/>
    <w:rPr>
      <w:i/>
    </w:rPr>
  </w:style>
  <w:style w:type="paragraph" w:customStyle="1" w:styleId="Normalbold">
    <w:name w:val="Normal + bold"/>
    <w:basedOn w:val="Normal"/>
    <w:qFormat/>
    <w:rsid w:val="00556936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F5CA9"/>
    <w:rPr>
      <w:rFonts w:ascii="Arial" w:eastAsiaTheme="majorEastAsia" w:hAnsi="Arial" w:cstheme="majorBidi"/>
      <w:b/>
      <w:bCs/>
      <w:color w:val="C62C2A"/>
      <w:kern w:val="28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1E4530"/>
    <w:rPr>
      <w:rFonts w:ascii="Arial" w:hAnsi="Arial" w:cs="Arial"/>
      <w:bCs/>
      <w:iCs/>
      <w:color w:val="264F9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E0307"/>
    <w:rPr>
      <w:rFonts w:ascii="Arial" w:hAnsi="Arial"/>
      <w:bCs/>
      <w:color w:val="264F9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F68B4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AF68B4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AF68B4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F68B4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AF68B4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D70C34"/>
    <w:pPr>
      <w:spacing w:before="60" w:after="60"/>
    </w:pPr>
    <w:rPr>
      <w:iCs/>
    </w:rPr>
  </w:style>
  <w:style w:type="paragraph" w:styleId="ListNumber">
    <w:name w:val="List Number"/>
    <w:basedOn w:val="ListBullet"/>
    <w:qFormat/>
    <w:rsid w:val="00E51523"/>
    <w:pPr>
      <w:numPr>
        <w:numId w:val="16"/>
      </w:numPr>
    </w:pPr>
  </w:style>
  <w:style w:type="paragraph" w:styleId="Title">
    <w:name w:val="Title"/>
    <w:basedOn w:val="Normal"/>
    <w:next w:val="Normal"/>
    <w:link w:val="TitleChar"/>
    <w:qFormat/>
    <w:rsid w:val="002331A6"/>
    <w:pPr>
      <w:pBdr>
        <w:top w:val="single" w:sz="36" w:space="15" w:color="E5B13D"/>
        <w:bottom w:val="single" w:sz="36" w:space="10" w:color="264F90"/>
      </w:pBdr>
      <w:shd w:val="clear" w:color="auto" w:fill="264F90"/>
      <w:spacing w:after="480" w:line="280" w:lineRule="atLeast"/>
      <w:ind w:firstLine="1219"/>
    </w:pPr>
    <w:rPr>
      <w:rFonts w:eastAsiaTheme="minorHAnsi" w:cs="Arial"/>
      <w:color w:val="FFFFFF" w:themeColor="background1"/>
      <w:spacing w:val="16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331A6"/>
    <w:rPr>
      <w:rFonts w:ascii="Arial" w:eastAsiaTheme="minorHAnsi" w:hAnsi="Arial" w:cs="Arial"/>
      <w:color w:val="FFFFFF" w:themeColor="background1"/>
      <w:spacing w:val="16"/>
      <w:sz w:val="36"/>
      <w:szCs w:val="36"/>
      <w:shd w:val="clear" w:color="auto" w:fill="264F90"/>
    </w:rPr>
  </w:style>
  <w:style w:type="paragraph" w:styleId="Subtitle">
    <w:name w:val="Subtitle"/>
    <w:basedOn w:val="Normal"/>
    <w:next w:val="Normal"/>
    <w:link w:val="SubtitleChar"/>
    <w:qFormat/>
    <w:rsid w:val="0055693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5693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556936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556936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833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3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66"/>
    <w:rPr>
      <w:rFonts w:ascii="Arial" w:hAnsi="Arial"/>
      <w:szCs w:val="22"/>
    </w:rPr>
  </w:style>
  <w:style w:type="paragraph" w:styleId="Footer">
    <w:name w:val="footer"/>
    <w:basedOn w:val="Normal"/>
    <w:link w:val="FooterChar"/>
    <w:unhideWhenUsed/>
    <w:rsid w:val="002F517E"/>
    <w:pPr>
      <w:tabs>
        <w:tab w:val="center" w:pos="6096"/>
        <w:tab w:val="right" w:pos="9026"/>
        <w:tab w:val="right" w:pos="9356"/>
      </w:tabs>
      <w:spacing w:before="0"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517E"/>
    <w:rPr>
      <w:rFonts w:ascii="Arial" w:hAnsi="Arial"/>
      <w:sz w:val="16"/>
      <w:szCs w:val="16"/>
    </w:rPr>
  </w:style>
  <w:style w:type="character" w:styleId="Hyperlink">
    <w:name w:val="Hyperlink"/>
    <w:uiPriority w:val="99"/>
    <w:rsid w:val="00383366"/>
    <w:rPr>
      <w:rFonts w:cs="Times New Roman"/>
      <w:color w:val="33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49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936"/>
    <w:pPr>
      <w:spacing w:before="0"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936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0493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A75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B5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4A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4A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4A8"/>
    <w:rPr>
      <w:rFonts w:ascii="Arial" w:hAnsi="Arial"/>
      <w:b/>
      <w:bCs/>
    </w:rPr>
  </w:style>
  <w:style w:type="paragraph" w:customStyle="1" w:styleId="Normalinstructions">
    <w:name w:val="Normal + instructions"/>
    <w:basedOn w:val="Normal"/>
    <w:qFormat/>
    <w:rsid w:val="00D26938"/>
    <w:pPr>
      <w:keepNext/>
      <w:shd w:val="clear" w:color="auto" w:fill="DBE5F1" w:themeFill="accent1" w:themeFillTint="33"/>
    </w:pPr>
    <w:rPr>
      <w:bCs/>
      <w:iCs/>
      <w:szCs w:val="24"/>
    </w:rPr>
  </w:style>
  <w:style w:type="paragraph" w:customStyle="1" w:styleId="Normalintroduction">
    <w:name w:val="Normal + introduction"/>
    <w:basedOn w:val="Normal"/>
    <w:qFormat/>
    <w:rsid w:val="001E4530"/>
    <w:rPr>
      <w:i/>
      <w:color w:val="1F497D" w:themeColor="text2"/>
      <w:sz w:val="24"/>
    </w:rPr>
  </w:style>
  <w:style w:type="paragraph" w:styleId="ListParagraph">
    <w:name w:val="List Paragraph"/>
    <w:basedOn w:val="Normal"/>
    <w:uiPriority w:val="34"/>
    <w:qFormat/>
    <w:rsid w:val="00F22256"/>
    <w:pPr>
      <w:ind w:left="720"/>
      <w:contextualSpacing/>
    </w:pPr>
  </w:style>
  <w:style w:type="paragraph" w:customStyle="1" w:styleId="Normalexplanatory">
    <w:name w:val="Normal + explanatory"/>
    <w:basedOn w:val="Normal"/>
    <w:qFormat/>
    <w:rsid w:val="00923EB3"/>
    <w:pPr>
      <w:spacing w:line="280" w:lineRule="atLeast"/>
    </w:pPr>
    <w:rPr>
      <w:rFonts w:eastAsiaTheme="minorHAnsi" w:cstheme="minorBidi"/>
      <w:i/>
      <w:color w:val="264F90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1E7B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1E7B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9D1E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usiness.gov.au/Pages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usiness.gov.au/-/media/grants-and-programs/business-events-grant/business-events-grant-opportunity-eligible-expenditure-factsheet-docx.ashx?sc_lang=en&amp;hash=D2A403250AB120D5C180EE51C980B4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rade.gov.au/Australian/Tourism/Tourism-and-business/Grants/business-events-exhibitor-grants-progr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e.gov.au/publications/resource-management-guides/domestic-travel-policy-rmg-4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F5A5-E7BA-443E-9B19-3EF0AF8C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3025</Characters>
  <Application>Microsoft Office Word</Application>
  <DocSecurity>0</DocSecurity>
  <Lines>141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Events Grant Factsheet - Event Owners</vt:lpstr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Events Grant Factsheet - Event Owners</dc:title>
  <dc:creator/>
  <cp:lastModifiedBy/>
  <cp:revision>1</cp:revision>
  <dcterms:created xsi:type="dcterms:W3CDTF">2021-02-02T03:05:00Z</dcterms:created>
  <dcterms:modified xsi:type="dcterms:W3CDTF">2021-02-02T03:08:00Z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