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D6BF" w14:textId="77777777" w:rsidR="004A1648" w:rsidRDefault="004A1648" w:rsidP="009E6D11"/>
    <w:p w14:paraId="519D0B8B" w14:textId="77777777" w:rsidR="008725E9" w:rsidRDefault="008725E9" w:rsidP="009E6D11"/>
    <w:p w14:paraId="10D0A924" w14:textId="77777777" w:rsidR="006E61B7" w:rsidRDefault="006E61B7" w:rsidP="009E6D11"/>
    <w:p w14:paraId="2FF59528" w14:textId="77777777" w:rsidR="00E55C27" w:rsidRPr="00DD5E7B" w:rsidRDefault="00F627E6" w:rsidP="00F627E6">
      <w:pPr>
        <w:pStyle w:val="Heading1"/>
        <w:spacing w:before="0" w:after="0"/>
        <w:jc w:val="center"/>
        <w:rPr>
          <w:b w:val="0"/>
          <w:color w:val="212A4C" w:themeColor="text2"/>
          <w:sz w:val="48"/>
        </w:rPr>
      </w:pPr>
      <w:r>
        <w:rPr>
          <w:b w:val="0"/>
          <w:color w:val="212A4C" w:themeColor="text2"/>
          <w:sz w:val="48"/>
        </w:rPr>
        <w:t>R</w:t>
      </w:r>
      <w:r w:rsidR="00E55C27" w:rsidRPr="00DD5E7B">
        <w:rPr>
          <w:b w:val="0"/>
          <w:color w:val="212A4C" w:themeColor="text2"/>
          <w:sz w:val="48"/>
        </w:rPr>
        <w:t>&amp;D Tax Incentive</w:t>
      </w:r>
    </w:p>
    <w:p w14:paraId="7B67F984" w14:textId="77777777" w:rsidR="00E55C27" w:rsidRDefault="006947DA" w:rsidP="00E55C27">
      <w:pPr>
        <w:keepNext/>
        <w:keepLines/>
        <w:spacing w:before="0" w:after="0" w:line="420" w:lineRule="atLeast"/>
        <w:jc w:val="center"/>
        <w:outlineLvl w:val="0"/>
        <w:rPr>
          <w:rFonts w:asciiTheme="majorHAnsi" w:eastAsiaTheme="majorEastAsia" w:hAnsiTheme="majorHAnsi" w:cstheme="majorBidi"/>
          <w:color w:val="212A4C" w:themeColor="text2"/>
          <w:sz w:val="48"/>
          <w:szCs w:val="32"/>
        </w:rPr>
      </w:pPr>
      <w:r>
        <w:rPr>
          <w:rFonts w:asciiTheme="majorHAnsi" w:eastAsiaTheme="majorEastAsia" w:hAnsiTheme="majorHAnsi" w:cstheme="majorBidi"/>
          <w:color w:val="212A4C" w:themeColor="text2"/>
          <w:sz w:val="48"/>
          <w:szCs w:val="32"/>
        </w:rPr>
        <w:t>State Reference Groups</w:t>
      </w:r>
    </w:p>
    <w:p w14:paraId="5EDC42EC" w14:textId="77777777" w:rsidR="00DD5E7B" w:rsidRDefault="00DD5E7B" w:rsidP="009E6D11">
      <w:pPr>
        <w:keepNext/>
        <w:keepLines/>
        <w:spacing w:before="0" w:after="0" w:line="340" w:lineRule="atLeast"/>
        <w:jc w:val="center"/>
        <w:outlineLvl w:val="1"/>
      </w:pPr>
    </w:p>
    <w:p w14:paraId="43004F3F" w14:textId="77777777" w:rsidR="00D60D1B" w:rsidRPr="00295953" w:rsidRDefault="00D60D1B" w:rsidP="005523E5">
      <w:pPr>
        <w:keepNext/>
        <w:keepLines/>
        <w:spacing w:before="0" w:after="0" w:line="340" w:lineRule="atLeast"/>
        <w:jc w:val="center"/>
        <w:outlineLvl w:val="1"/>
        <w:rPr>
          <w:rFonts w:asciiTheme="majorHAnsi" w:eastAsiaTheme="majorEastAsia" w:hAnsiTheme="majorHAnsi" w:cstheme="majorBidi"/>
          <w:color w:val="212A4C" w:themeColor="text2"/>
          <w:sz w:val="28"/>
          <w:szCs w:val="26"/>
        </w:rPr>
      </w:pPr>
      <w:r>
        <w:rPr>
          <w:rFonts w:asciiTheme="majorHAnsi" w:eastAsiaTheme="majorEastAsia" w:hAnsiTheme="majorHAnsi" w:cstheme="majorBidi"/>
          <w:color w:val="212A4C" w:themeColor="text2"/>
          <w:sz w:val="28"/>
          <w:szCs w:val="26"/>
        </w:rPr>
        <w:t xml:space="preserve"> September</w:t>
      </w:r>
      <w:r w:rsidRPr="00295953">
        <w:rPr>
          <w:rFonts w:asciiTheme="majorHAnsi" w:eastAsiaTheme="majorEastAsia" w:hAnsiTheme="majorHAnsi" w:cstheme="majorBidi"/>
          <w:color w:val="212A4C" w:themeColor="text2"/>
          <w:sz w:val="28"/>
          <w:szCs w:val="26"/>
        </w:rPr>
        <w:t xml:space="preserve"> 2022</w:t>
      </w:r>
    </w:p>
    <w:p w14:paraId="7DECF2DC" w14:textId="77777777" w:rsidR="007F0760" w:rsidRDefault="007F0760" w:rsidP="009E6D11">
      <w:pPr>
        <w:keepNext/>
        <w:keepLines/>
        <w:spacing w:before="0" w:after="0" w:line="340" w:lineRule="atLeast"/>
        <w:jc w:val="center"/>
        <w:outlineLvl w:val="1"/>
      </w:pPr>
    </w:p>
    <w:p w14:paraId="062DCD00" w14:textId="77777777" w:rsidR="007F0760" w:rsidRDefault="007F0760" w:rsidP="007F0760">
      <w:pPr>
        <w:keepNext/>
        <w:keepLines/>
        <w:spacing w:before="0" w:after="0" w:line="340" w:lineRule="atLeast"/>
        <w:jc w:val="center"/>
        <w:outlineLvl w:val="1"/>
        <w:rPr>
          <w:rFonts w:asciiTheme="majorHAnsi" w:eastAsiaTheme="majorEastAsia" w:hAnsiTheme="majorHAnsi" w:cstheme="majorBidi"/>
          <w:color w:val="212A4C" w:themeColor="text2"/>
          <w:sz w:val="28"/>
          <w:szCs w:val="26"/>
        </w:rPr>
      </w:pPr>
      <w:r>
        <w:rPr>
          <w:rFonts w:asciiTheme="majorHAnsi" w:eastAsiaTheme="majorEastAsia" w:hAnsiTheme="majorHAnsi" w:cstheme="majorBidi"/>
          <w:color w:val="212A4C" w:themeColor="text2"/>
          <w:sz w:val="28"/>
          <w:szCs w:val="26"/>
        </w:rPr>
        <w:t>Agenda</w:t>
      </w:r>
    </w:p>
    <w:p w14:paraId="261E1BD8" w14:textId="77777777" w:rsidR="001B105D" w:rsidRPr="007F0760" w:rsidRDefault="007F0760" w:rsidP="009E6D11">
      <w:pPr>
        <w:keepNext/>
        <w:keepLines/>
        <w:spacing w:before="0" w:after="0" w:line="340" w:lineRule="atLeast"/>
        <w:jc w:val="center"/>
        <w:outlineLvl w:val="1"/>
        <w:rPr>
          <w:rFonts w:asciiTheme="majorHAnsi" w:eastAsiaTheme="majorEastAsia" w:hAnsiTheme="majorHAnsi" w:cstheme="majorBidi"/>
          <w:color w:val="212A4C" w:themeColor="text2"/>
          <w:sz w:val="28"/>
          <w:szCs w:val="26"/>
        </w:rPr>
      </w:pPr>
      <w:r>
        <w:tab/>
      </w:r>
    </w:p>
    <w:tbl>
      <w:tblPr>
        <w:tblStyle w:val="BEPTable1"/>
        <w:tblW w:w="5309" w:type="pct"/>
        <w:tblLayout w:type="fixed"/>
        <w:tblLook w:val="0620" w:firstRow="1" w:lastRow="0" w:firstColumn="0" w:lastColumn="0" w:noHBand="1" w:noVBand="1"/>
        <w:tblCaption w:val="Agenda"/>
        <w:tblDescription w:val="Time, Item and the speaker."/>
      </w:tblPr>
      <w:tblGrid>
        <w:gridCol w:w="1277"/>
        <w:gridCol w:w="3967"/>
        <w:gridCol w:w="5104"/>
      </w:tblGrid>
      <w:tr w:rsidR="001B105D" w14:paraId="5FA3D054" w14:textId="77777777" w:rsidTr="00BD3DD6">
        <w:trPr>
          <w:cnfStyle w:val="100000000000" w:firstRow="1" w:lastRow="0" w:firstColumn="0" w:lastColumn="0" w:oddVBand="0" w:evenVBand="0" w:oddHBand="0" w:evenHBand="0" w:firstRowFirstColumn="0" w:firstRowLastColumn="0" w:lastRowFirstColumn="0" w:lastRowLastColumn="0"/>
          <w:trHeight w:val="113"/>
        </w:trPr>
        <w:tc>
          <w:tcPr>
            <w:tcW w:w="617" w:type="pct"/>
            <w:shd w:val="clear" w:color="auto" w:fill="DFE7F6"/>
          </w:tcPr>
          <w:p w14:paraId="6C1EF2B3" w14:textId="77777777" w:rsidR="001B105D" w:rsidRDefault="001B105D" w:rsidP="005A74AD">
            <w:r w:rsidRPr="15A77D3A">
              <w:rPr>
                <w:sz w:val="22"/>
                <w:szCs w:val="22"/>
              </w:rPr>
              <w:t>Time</w:t>
            </w:r>
          </w:p>
        </w:tc>
        <w:tc>
          <w:tcPr>
            <w:tcW w:w="1917" w:type="pct"/>
            <w:shd w:val="clear" w:color="auto" w:fill="DFE7F6"/>
          </w:tcPr>
          <w:p w14:paraId="7A51B6EF" w14:textId="77777777" w:rsidR="001B105D" w:rsidRDefault="001B105D" w:rsidP="005A74AD">
            <w:r w:rsidRPr="15A77D3A">
              <w:rPr>
                <w:sz w:val="22"/>
                <w:szCs w:val="22"/>
              </w:rPr>
              <w:t>Item</w:t>
            </w:r>
          </w:p>
        </w:tc>
        <w:tc>
          <w:tcPr>
            <w:tcW w:w="2466" w:type="pct"/>
            <w:shd w:val="clear" w:color="auto" w:fill="DFE7F6"/>
          </w:tcPr>
          <w:p w14:paraId="2BE3DD0C" w14:textId="77777777" w:rsidR="001B105D" w:rsidRDefault="001B105D" w:rsidP="005A74AD">
            <w:r w:rsidRPr="15A77D3A">
              <w:rPr>
                <w:sz w:val="22"/>
                <w:szCs w:val="22"/>
              </w:rPr>
              <w:t>Speaker</w:t>
            </w:r>
          </w:p>
        </w:tc>
      </w:tr>
      <w:tr w:rsidR="001B105D" w14:paraId="063066CC" w14:textId="77777777" w:rsidTr="00BD3DD6">
        <w:trPr>
          <w:trHeight w:val="113"/>
        </w:trPr>
        <w:tc>
          <w:tcPr>
            <w:tcW w:w="617" w:type="pct"/>
          </w:tcPr>
          <w:p w14:paraId="2A7BFE7C" w14:textId="54CB40C5" w:rsidR="001B105D" w:rsidRDefault="001B105D" w:rsidP="005A74AD">
            <w:pPr>
              <w:rPr>
                <w:rFonts w:eastAsia="Times New Roman" w:cstheme="minorHAnsi"/>
                <w:lang w:eastAsia="en-AU"/>
              </w:rPr>
            </w:pPr>
            <w:r w:rsidRPr="00342AF5">
              <w:rPr>
                <w:rFonts w:eastAsia="Times New Roman" w:cstheme="minorHAnsi"/>
                <w:lang w:eastAsia="en-AU"/>
              </w:rPr>
              <w:t>1</w:t>
            </w:r>
            <w:r>
              <w:rPr>
                <w:rFonts w:eastAsia="Times New Roman" w:cstheme="minorHAnsi"/>
                <w:lang w:eastAsia="en-AU"/>
              </w:rPr>
              <w:t>1.00am</w:t>
            </w:r>
          </w:p>
          <w:p w14:paraId="71DE97F6" w14:textId="1480B570" w:rsidR="001B105D" w:rsidRDefault="001B105D" w:rsidP="005A74AD"/>
        </w:tc>
        <w:tc>
          <w:tcPr>
            <w:tcW w:w="1917" w:type="pct"/>
          </w:tcPr>
          <w:p w14:paraId="0378AC0F" w14:textId="77777777" w:rsidR="001B105D" w:rsidRPr="005523E5" w:rsidRDefault="001B105D" w:rsidP="005523E5">
            <w:pPr>
              <w:pStyle w:val="ListParagraph"/>
              <w:numPr>
                <w:ilvl w:val="0"/>
                <w:numId w:val="5"/>
              </w:numPr>
              <w:spacing w:before="60" w:after="0" w:line="25" w:lineRule="atLeast"/>
              <w:contextualSpacing w:val="0"/>
              <w:rPr>
                <w:rFonts w:eastAsia="Times New Roman" w:cstheme="minorHAnsi"/>
                <w:b/>
                <w:lang w:eastAsia="en-AU"/>
              </w:rPr>
            </w:pPr>
            <w:r w:rsidRPr="005523E5">
              <w:rPr>
                <w:b/>
                <w:lang w:eastAsia="en-AU"/>
              </w:rPr>
              <w:t>Welcome</w:t>
            </w:r>
          </w:p>
          <w:p w14:paraId="476D804F" w14:textId="77777777" w:rsidR="001B105D" w:rsidRDefault="001B105D" w:rsidP="001B105D">
            <w:pPr>
              <w:pStyle w:val="ListParagraph"/>
              <w:numPr>
                <w:ilvl w:val="1"/>
                <w:numId w:val="5"/>
              </w:numPr>
              <w:spacing w:before="60" w:after="60" w:line="25" w:lineRule="atLeast"/>
              <w:contextualSpacing w:val="0"/>
              <w:rPr>
                <w:rFonts w:eastAsia="Times New Roman" w:cstheme="minorHAnsi"/>
                <w:lang w:eastAsia="en-AU"/>
              </w:rPr>
            </w:pPr>
            <w:r>
              <w:rPr>
                <w:rFonts w:eastAsia="Times New Roman" w:cstheme="minorHAnsi"/>
                <w:lang w:eastAsia="en-AU"/>
              </w:rPr>
              <w:t>Roll-call of attendees</w:t>
            </w:r>
          </w:p>
          <w:p w14:paraId="4EE02DC4" w14:textId="77777777" w:rsidR="001B105D" w:rsidRDefault="001B105D" w:rsidP="001B105D">
            <w:pPr>
              <w:pStyle w:val="ListParagraph"/>
              <w:numPr>
                <w:ilvl w:val="1"/>
                <w:numId w:val="5"/>
              </w:numPr>
              <w:spacing w:before="60" w:after="60" w:line="25" w:lineRule="atLeast"/>
              <w:contextualSpacing w:val="0"/>
              <w:rPr>
                <w:rFonts w:eastAsia="Times New Roman" w:cstheme="minorHAnsi"/>
                <w:lang w:eastAsia="en-AU"/>
              </w:rPr>
            </w:pPr>
            <w:r w:rsidRPr="00F33335">
              <w:rPr>
                <w:rFonts w:eastAsia="Times New Roman" w:cstheme="minorHAnsi"/>
                <w:lang w:eastAsia="en-AU"/>
              </w:rPr>
              <w:t>Acknowledgement of country</w:t>
            </w:r>
          </w:p>
          <w:p w14:paraId="09489498" w14:textId="77777777" w:rsidR="001B105D" w:rsidRPr="00A54DF5" w:rsidRDefault="001B105D" w:rsidP="001B105D">
            <w:pPr>
              <w:pStyle w:val="ListParagraph"/>
              <w:numPr>
                <w:ilvl w:val="1"/>
                <w:numId w:val="5"/>
              </w:numPr>
              <w:spacing w:before="60" w:after="60" w:line="25" w:lineRule="atLeast"/>
              <w:contextualSpacing w:val="0"/>
              <w:rPr>
                <w:rFonts w:eastAsia="Times New Roman" w:cstheme="minorHAnsi"/>
                <w:lang w:eastAsia="en-AU"/>
              </w:rPr>
            </w:pPr>
            <w:r w:rsidRPr="00F33335">
              <w:rPr>
                <w:rFonts w:eastAsia="Times New Roman" w:cstheme="minorHAnsi"/>
                <w:lang w:eastAsia="en-AU"/>
              </w:rPr>
              <w:t>House keeping</w:t>
            </w:r>
          </w:p>
        </w:tc>
        <w:tc>
          <w:tcPr>
            <w:tcW w:w="2466" w:type="pct"/>
          </w:tcPr>
          <w:p w14:paraId="40793D45" w14:textId="77777777" w:rsidR="001B105D" w:rsidRPr="00F33335" w:rsidRDefault="001B105D" w:rsidP="005A74AD">
            <w:r>
              <w:rPr>
                <w:rFonts w:eastAsia="Times New Roman" w:cstheme="minorHAnsi"/>
                <w:lang w:eastAsia="en-AU"/>
              </w:rPr>
              <w:t>Facilitator</w:t>
            </w:r>
          </w:p>
        </w:tc>
      </w:tr>
      <w:tr w:rsidR="001B105D" w14:paraId="55976299" w14:textId="77777777" w:rsidTr="00BD3DD6">
        <w:trPr>
          <w:trHeight w:val="113"/>
        </w:trPr>
        <w:tc>
          <w:tcPr>
            <w:tcW w:w="617" w:type="pct"/>
          </w:tcPr>
          <w:p w14:paraId="1792913A" w14:textId="7FF71962" w:rsidR="001B105D" w:rsidRDefault="001B105D" w:rsidP="00AE5D6F">
            <w:pPr>
              <w:rPr>
                <w:rFonts w:eastAsia="Times New Roman" w:cstheme="minorHAnsi"/>
                <w:lang w:eastAsia="en-AU"/>
              </w:rPr>
            </w:pPr>
            <w:r>
              <w:rPr>
                <w:rFonts w:eastAsia="Times New Roman" w:cstheme="minorHAnsi"/>
                <w:lang w:eastAsia="en-AU"/>
              </w:rPr>
              <w:t xml:space="preserve">11.05am </w:t>
            </w:r>
          </w:p>
        </w:tc>
        <w:tc>
          <w:tcPr>
            <w:tcW w:w="1917" w:type="pct"/>
          </w:tcPr>
          <w:p w14:paraId="6CDA2001" w14:textId="77777777" w:rsidR="001B105D" w:rsidRDefault="001B105D" w:rsidP="001B105D">
            <w:pPr>
              <w:pStyle w:val="ListParagraph"/>
              <w:numPr>
                <w:ilvl w:val="0"/>
                <w:numId w:val="5"/>
              </w:numPr>
              <w:spacing w:before="60" w:after="0" w:line="25" w:lineRule="atLeast"/>
              <w:contextualSpacing w:val="0"/>
              <w:rPr>
                <w:rFonts w:eastAsia="Times New Roman" w:cstheme="minorHAnsi"/>
                <w:b/>
                <w:lang w:eastAsia="en-AU"/>
              </w:rPr>
            </w:pPr>
            <w:r>
              <w:rPr>
                <w:rFonts w:eastAsia="Times New Roman" w:cstheme="minorHAnsi"/>
                <w:b/>
                <w:lang w:eastAsia="en-AU"/>
              </w:rPr>
              <w:t>AusIndustry Insights</w:t>
            </w:r>
          </w:p>
          <w:p w14:paraId="070AC093" w14:textId="77777777" w:rsidR="001B105D" w:rsidRPr="005523E5" w:rsidRDefault="00270C5D" w:rsidP="005523E5">
            <w:pPr>
              <w:pStyle w:val="ListParagraph"/>
              <w:numPr>
                <w:ilvl w:val="1"/>
                <w:numId w:val="5"/>
              </w:numPr>
              <w:spacing w:before="60" w:after="60" w:line="25" w:lineRule="atLeast"/>
              <w:contextualSpacing w:val="0"/>
              <w:rPr>
                <w:rFonts w:eastAsia="Times New Roman" w:cstheme="minorHAnsi"/>
                <w:lang w:eastAsia="en-AU"/>
              </w:rPr>
            </w:pPr>
            <w:hyperlink w:anchor="_2.1_Customer_Portal" w:history="1">
              <w:r w:rsidR="001B105D" w:rsidRPr="005523E5">
                <w:t>Customer portal</w:t>
              </w:r>
            </w:hyperlink>
          </w:p>
          <w:p w14:paraId="428A84C5" w14:textId="77777777" w:rsidR="001B105D" w:rsidRPr="005523E5" w:rsidRDefault="00270C5D" w:rsidP="005523E5">
            <w:pPr>
              <w:pStyle w:val="ListParagraph"/>
              <w:numPr>
                <w:ilvl w:val="1"/>
                <w:numId w:val="5"/>
              </w:numPr>
              <w:spacing w:before="60" w:after="60" w:line="25" w:lineRule="atLeast"/>
              <w:contextualSpacing w:val="0"/>
              <w:rPr>
                <w:rFonts w:eastAsia="Times New Roman" w:cstheme="minorHAnsi"/>
                <w:lang w:eastAsia="en-AU"/>
              </w:rPr>
            </w:pPr>
            <w:hyperlink w:anchor="_2.2_Registrations_Update" w:history="1">
              <w:r w:rsidR="001B105D" w:rsidRPr="005523E5">
                <w:t>Registrations update</w:t>
              </w:r>
            </w:hyperlink>
          </w:p>
          <w:p w14:paraId="57144A57" w14:textId="77777777" w:rsidR="001B105D" w:rsidRPr="005523E5" w:rsidRDefault="00270C5D" w:rsidP="005523E5">
            <w:pPr>
              <w:pStyle w:val="ListParagraph"/>
              <w:numPr>
                <w:ilvl w:val="1"/>
                <w:numId w:val="5"/>
              </w:numPr>
              <w:spacing w:before="60" w:after="60" w:line="25" w:lineRule="atLeast"/>
              <w:contextualSpacing w:val="0"/>
              <w:rPr>
                <w:rFonts w:eastAsia="Times New Roman" w:cstheme="minorHAnsi"/>
                <w:lang w:eastAsia="en-AU"/>
              </w:rPr>
            </w:pPr>
            <w:hyperlink w:anchor="_2.3_Data_Insights" w:history="1">
              <w:r w:rsidR="001B105D" w:rsidRPr="005523E5">
                <w:t>Data insights</w:t>
              </w:r>
            </w:hyperlink>
          </w:p>
          <w:p w14:paraId="4074BE1A" w14:textId="77777777" w:rsidR="001B105D" w:rsidRPr="005523E5" w:rsidRDefault="00270C5D" w:rsidP="005523E5">
            <w:pPr>
              <w:pStyle w:val="ListParagraph"/>
              <w:numPr>
                <w:ilvl w:val="1"/>
                <w:numId w:val="5"/>
              </w:numPr>
              <w:spacing w:before="60" w:after="60" w:line="25" w:lineRule="atLeast"/>
              <w:contextualSpacing w:val="0"/>
              <w:rPr>
                <w:rFonts w:eastAsia="Times New Roman" w:cstheme="minorHAnsi"/>
                <w:lang w:eastAsia="en-AU"/>
              </w:rPr>
            </w:pPr>
            <w:hyperlink w:anchor="_2.4_Compliance_trends" w:history="1">
              <w:r w:rsidR="001B105D" w:rsidRPr="005523E5">
                <w:t>Compliance trends</w:t>
              </w:r>
            </w:hyperlink>
          </w:p>
          <w:p w14:paraId="59ADC4C2" w14:textId="77777777" w:rsidR="001B105D" w:rsidRPr="005523E5" w:rsidRDefault="00270C5D" w:rsidP="005523E5">
            <w:pPr>
              <w:pStyle w:val="ListParagraph"/>
              <w:numPr>
                <w:ilvl w:val="1"/>
                <w:numId w:val="5"/>
              </w:numPr>
              <w:spacing w:before="60" w:after="60" w:line="25" w:lineRule="atLeast"/>
              <w:contextualSpacing w:val="0"/>
              <w:rPr>
                <w:rFonts w:eastAsia="Times New Roman" w:cstheme="minorHAnsi"/>
                <w:lang w:eastAsia="en-AU"/>
              </w:rPr>
            </w:pPr>
            <w:hyperlink w:anchor="_2.5_Customer_Survey" w:history="1">
              <w:r w:rsidR="001B105D" w:rsidRPr="005523E5">
                <w:t>Customer survey</w:t>
              </w:r>
            </w:hyperlink>
          </w:p>
          <w:p w14:paraId="7A623418" w14:textId="77777777" w:rsidR="001B105D" w:rsidRPr="00112B0D" w:rsidRDefault="00270C5D" w:rsidP="005523E5">
            <w:pPr>
              <w:pStyle w:val="ListParagraph"/>
              <w:numPr>
                <w:ilvl w:val="1"/>
                <w:numId w:val="5"/>
              </w:numPr>
              <w:spacing w:before="60" w:after="60" w:line="25" w:lineRule="atLeast"/>
              <w:contextualSpacing w:val="0"/>
              <w:rPr>
                <w:rFonts w:eastAsia="Times New Roman" w:cstheme="minorHAnsi"/>
                <w:lang w:eastAsia="en-AU"/>
              </w:rPr>
            </w:pPr>
            <w:hyperlink w:anchor="_2.6_RSP_Working" w:history="1">
              <w:r w:rsidR="00B56FAA" w:rsidRPr="005523E5">
                <w:t>RSP Working Group</w:t>
              </w:r>
            </w:hyperlink>
            <w:r w:rsidR="001B105D" w:rsidRPr="00112B0D">
              <w:rPr>
                <w:rFonts w:eastAsia="Times New Roman" w:cstheme="minorHAnsi"/>
                <w:lang w:eastAsia="en-AU"/>
              </w:rPr>
              <w:t xml:space="preserve"> </w:t>
            </w:r>
          </w:p>
        </w:tc>
        <w:tc>
          <w:tcPr>
            <w:tcW w:w="2466" w:type="pct"/>
          </w:tcPr>
          <w:p w14:paraId="247572F5" w14:textId="77777777" w:rsidR="001B105D" w:rsidRPr="00FF1242" w:rsidRDefault="001B105D" w:rsidP="005A74AD">
            <w:pPr>
              <w:rPr>
                <w:rFonts w:eastAsia="Times New Roman" w:cstheme="minorHAnsi"/>
                <w:sz w:val="12"/>
                <w:lang w:eastAsia="en-AU"/>
              </w:rPr>
            </w:pPr>
          </w:p>
          <w:p w14:paraId="48C7ECC2" w14:textId="77777777" w:rsidR="001B105D" w:rsidRDefault="001B105D" w:rsidP="005A74AD">
            <w:pPr>
              <w:rPr>
                <w:rFonts w:eastAsia="Times New Roman" w:cstheme="minorHAnsi"/>
                <w:lang w:eastAsia="en-AU"/>
              </w:rPr>
            </w:pPr>
            <w:r>
              <w:rPr>
                <w:rFonts w:eastAsia="Times New Roman" w:cstheme="minorHAnsi"/>
                <w:lang w:eastAsia="en-AU"/>
              </w:rPr>
              <w:t>Keelie Williams, Manager, Business Support</w:t>
            </w:r>
          </w:p>
          <w:p w14:paraId="38D29A74" w14:textId="77777777" w:rsidR="001B105D" w:rsidRDefault="001B105D" w:rsidP="005A74AD">
            <w:pPr>
              <w:rPr>
                <w:rFonts w:eastAsia="Times New Roman" w:cstheme="minorHAnsi"/>
                <w:lang w:eastAsia="en-AU"/>
              </w:rPr>
            </w:pPr>
            <w:r>
              <w:rPr>
                <w:rFonts w:eastAsia="Times New Roman" w:cstheme="minorHAnsi"/>
                <w:lang w:eastAsia="en-AU"/>
              </w:rPr>
              <w:t>Joanne Taylor,  Acting Manager, Registrations</w:t>
            </w:r>
          </w:p>
          <w:p w14:paraId="027C3507" w14:textId="77777777" w:rsidR="00116D56" w:rsidRDefault="00116D56" w:rsidP="00116D56">
            <w:pPr>
              <w:rPr>
                <w:rFonts w:eastAsia="Times New Roman" w:cstheme="minorHAnsi"/>
                <w:lang w:eastAsia="en-AU"/>
              </w:rPr>
            </w:pPr>
            <w:r>
              <w:rPr>
                <w:rFonts w:eastAsia="Times New Roman" w:cstheme="minorHAnsi"/>
                <w:lang w:eastAsia="en-AU"/>
              </w:rPr>
              <w:t>Keelie Williams, Manager, Business Support</w:t>
            </w:r>
          </w:p>
          <w:p w14:paraId="720AFBB2" w14:textId="77777777" w:rsidR="001B105D" w:rsidRDefault="001B105D" w:rsidP="005A74AD">
            <w:r>
              <w:t>Tom Gilbert, Manager, National Assessments</w:t>
            </w:r>
          </w:p>
          <w:p w14:paraId="2A66D7AD" w14:textId="77777777" w:rsidR="001B105D" w:rsidRDefault="00083D39" w:rsidP="005A74AD">
            <w:r>
              <w:t>Malcolm Jones</w:t>
            </w:r>
            <w:r w:rsidR="001B105D">
              <w:t xml:space="preserve">, </w:t>
            </w:r>
            <w:r>
              <w:t xml:space="preserve">Acting </w:t>
            </w:r>
            <w:r w:rsidR="001B105D">
              <w:t>Manager, Business R&amp;D Policy</w:t>
            </w:r>
          </w:p>
          <w:p w14:paraId="466CC391" w14:textId="77777777" w:rsidR="001B105D" w:rsidRPr="00F33335" w:rsidRDefault="001B105D" w:rsidP="005A74AD">
            <w:pPr>
              <w:rPr>
                <w:rFonts w:eastAsia="Times New Roman" w:cstheme="minorHAnsi"/>
                <w:lang w:eastAsia="en-AU"/>
              </w:rPr>
            </w:pPr>
            <w:r>
              <w:t>Leanne Alvos, Manager, Governance and Engagement</w:t>
            </w:r>
          </w:p>
        </w:tc>
      </w:tr>
      <w:tr w:rsidR="001B105D" w14:paraId="63E675D4" w14:textId="77777777" w:rsidTr="00BD3DD6">
        <w:trPr>
          <w:trHeight w:val="113"/>
        </w:trPr>
        <w:tc>
          <w:tcPr>
            <w:tcW w:w="617" w:type="pct"/>
          </w:tcPr>
          <w:p w14:paraId="5CD93286" w14:textId="64885C21" w:rsidR="001B105D" w:rsidRDefault="001B105D" w:rsidP="00AE5D6F">
            <w:r>
              <w:rPr>
                <w:rFonts w:eastAsia="Times New Roman" w:cstheme="minorHAnsi"/>
                <w:lang w:eastAsia="en-AU"/>
              </w:rPr>
              <w:t xml:space="preserve">11.35am </w:t>
            </w:r>
          </w:p>
        </w:tc>
        <w:tc>
          <w:tcPr>
            <w:tcW w:w="1917" w:type="pct"/>
          </w:tcPr>
          <w:p w14:paraId="13742D0D" w14:textId="77777777" w:rsidR="001B105D" w:rsidRPr="005523E5" w:rsidRDefault="00270C5D" w:rsidP="001B105D">
            <w:pPr>
              <w:pStyle w:val="ListParagraph"/>
              <w:numPr>
                <w:ilvl w:val="0"/>
                <w:numId w:val="5"/>
              </w:numPr>
              <w:spacing w:before="60" w:after="0" w:line="25" w:lineRule="atLeast"/>
              <w:contextualSpacing w:val="0"/>
              <w:rPr>
                <w:b/>
                <w:lang w:eastAsia="en-AU"/>
              </w:rPr>
            </w:pPr>
            <w:hyperlink w:anchor="_ATO_Update_–" w:history="1">
              <w:r w:rsidR="001B105D" w:rsidRPr="005523E5">
                <w:rPr>
                  <w:b/>
                </w:rPr>
                <w:t>ATO Insights</w:t>
              </w:r>
            </w:hyperlink>
            <w:r w:rsidR="001B105D" w:rsidRPr="005523E5">
              <w:rPr>
                <w:b/>
                <w:lang w:eastAsia="en-AU"/>
              </w:rPr>
              <w:t xml:space="preserve"> </w:t>
            </w:r>
          </w:p>
          <w:p w14:paraId="6AF1148D" w14:textId="77777777" w:rsidR="001B105D" w:rsidRPr="00FF1242" w:rsidRDefault="001B105D" w:rsidP="005A74AD">
            <w:pPr>
              <w:spacing w:before="60" w:after="60" w:line="25" w:lineRule="atLeast"/>
              <w:rPr>
                <w:rFonts w:eastAsia="Times New Roman" w:cstheme="minorHAnsi"/>
                <w:lang w:eastAsia="en-AU"/>
              </w:rPr>
            </w:pPr>
          </w:p>
        </w:tc>
        <w:tc>
          <w:tcPr>
            <w:tcW w:w="2466" w:type="pct"/>
          </w:tcPr>
          <w:p w14:paraId="3DAE5457" w14:textId="77777777" w:rsidR="001B105D" w:rsidRPr="00F33335" w:rsidRDefault="001B105D" w:rsidP="005A74AD">
            <w:r>
              <w:rPr>
                <w:rFonts w:eastAsia="Times New Roman" w:cstheme="minorHAnsi"/>
                <w:lang w:eastAsia="en-AU"/>
              </w:rPr>
              <w:t>Brett Challans, Senior Director, Innovation Taxes, ATO</w:t>
            </w:r>
          </w:p>
        </w:tc>
      </w:tr>
      <w:tr w:rsidR="001B105D" w14:paraId="1BCF9F95" w14:textId="77777777" w:rsidTr="00BD3DD6">
        <w:trPr>
          <w:trHeight w:val="113"/>
        </w:trPr>
        <w:tc>
          <w:tcPr>
            <w:tcW w:w="617" w:type="pct"/>
          </w:tcPr>
          <w:p w14:paraId="7CF85A63" w14:textId="0BE6E92C" w:rsidR="001B105D" w:rsidRDefault="001B105D" w:rsidP="00AE5D6F">
            <w:pPr>
              <w:rPr>
                <w:rFonts w:eastAsia="Times New Roman" w:cstheme="minorHAnsi"/>
                <w:lang w:eastAsia="en-AU"/>
              </w:rPr>
            </w:pPr>
            <w:r>
              <w:rPr>
                <w:rFonts w:eastAsia="Times New Roman" w:cstheme="minorHAnsi"/>
                <w:lang w:eastAsia="en-AU"/>
              </w:rPr>
              <w:t>1</w:t>
            </w:r>
            <w:r w:rsidR="00B56FAA">
              <w:rPr>
                <w:rFonts w:eastAsia="Times New Roman" w:cstheme="minorHAnsi"/>
                <w:lang w:eastAsia="en-AU"/>
              </w:rPr>
              <w:t>1</w:t>
            </w:r>
            <w:r>
              <w:rPr>
                <w:rFonts w:eastAsia="Times New Roman" w:cstheme="minorHAnsi"/>
                <w:lang w:eastAsia="en-AU"/>
              </w:rPr>
              <w:t>.</w:t>
            </w:r>
            <w:r w:rsidR="00B56FAA">
              <w:rPr>
                <w:rFonts w:eastAsia="Times New Roman" w:cstheme="minorHAnsi"/>
                <w:lang w:eastAsia="en-AU"/>
              </w:rPr>
              <w:t>5</w:t>
            </w:r>
            <w:r>
              <w:rPr>
                <w:rFonts w:eastAsia="Times New Roman" w:cstheme="minorHAnsi"/>
                <w:lang w:eastAsia="en-AU"/>
              </w:rPr>
              <w:t>5</w:t>
            </w:r>
            <w:r w:rsidR="00B56FAA">
              <w:rPr>
                <w:rFonts w:eastAsia="Times New Roman" w:cstheme="minorHAnsi"/>
                <w:lang w:eastAsia="en-AU"/>
              </w:rPr>
              <w:t>a</w:t>
            </w:r>
            <w:r>
              <w:rPr>
                <w:rFonts w:eastAsia="Times New Roman" w:cstheme="minorHAnsi"/>
                <w:lang w:eastAsia="en-AU"/>
              </w:rPr>
              <w:t xml:space="preserve">m </w:t>
            </w:r>
          </w:p>
        </w:tc>
        <w:tc>
          <w:tcPr>
            <w:tcW w:w="1917" w:type="pct"/>
          </w:tcPr>
          <w:p w14:paraId="5EB077C2" w14:textId="77777777" w:rsidR="001B105D" w:rsidRPr="005523E5" w:rsidRDefault="00270C5D" w:rsidP="001B105D">
            <w:pPr>
              <w:pStyle w:val="ListParagraph"/>
              <w:numPr>
                <w:ilvl w:val="0"/>
                <w:numId w:val="5"/>
              </w:numPr>
              <w:spacing w:before="60" w:after="0" w:line="25" w:lineRule="atLeast"/>
              <w:contextualSpacing w:val="0"/>
              <w:rPr>
                <w:rFonts w:eastAsia="Times New Roman" w:cstheme="minorHAnsi"/>
                <w:b/>
                <w:lang w:eastAsia="en-AU"/>
              </w:rPr>
            </w:pPr>
            <w:hyperlink w:anchor="_Litigation_Insights_–" w:history="1">
              <w:r w:rsidR="001B105D" w:rsidRPr="005523E5">
                <w:rPr>
                  <w:b/>
                </w:rPr>
                <w:t>Litigation Insights</w:t>
              </w:r>
            </w:hyperlink>
          </w:p>
        </w:tc>
        <w:tc>
          <w:tcPr>
            <w:tcW w:w="2466" w:type="pct"/>
          </w:tcPr>
          <w:p w14:paraId="32EF279E" w14:textId="77777777" w:rsidR="001B105D" w:rsidRDefault="001B105D" w:rsidP="001F63D6">
            <w:r>
              <w:t>Anna George, A</w:t>
            </w:r>
            <w:r w:rsidR="001F63D6">
              <w:t>cting</w:t>
            </w:r>
            <w:r>
              <w:t xml:space="preserve"> Manager, Administrative Review</w:t>
            </w:r>
          </w:p>
        </w:tc>
      </w:tr>
      <w:tr w:rsidR="001B105D" w14:paraId="1E87BDC3" w14:textId="77777777" w:rsidTr="00BD3DD6">
        <w:trPr>
          <w:trHeight w:val="113"/>
        </w:trPr>
        <w:tc>
          <w:tcPr>
            <w:tcW w:w="617" w:type="pct"/>
          </w:tcPr>
          <w:p w14:paraId="6C8488FE" w14:textId="3447AA16" w:rsidR="001B105D" w:rsidRPr="00FF1242" w:rsidRDefault="001B105D" w:rsidP="00AE5D6F">
            <w:pPr>
              <w:rPr>
                <w:rFonts w:eastAsia="Times New Roman" w:cstheme="minorHAnsi"/>
                <w:lang w:eastAsia="en-AU"/>
              </w:rPr>
            </w:pPr>
            <w:r>
              <w:rPr>
                <w:rFonts w:eastAsia="Times New Roman" w:cstheme="minorHAnsi"/>
                <w:lang w:eastAsia="en-AU"/>
              </w:rPr>
              <w:t>12.</w:t>
            </w:r>
            <w:r w:rsidR="00B56FAA">
              <w:rPr>
                <w:rFonts w:eastAsia="Times New Roman" w:cstheme="minorHAnsi"/>
                <w:lang w:eastAsia="en-AU"/>
              </w:rPr>
              <w:t>25</w:t>
            </w:r>
            <w:r>
              <w:rPr>
                <w:rFonts w:eastAsia="Times New Roman" w:cstheme="minorHAnsi"/>
                <w:lang w:eastAsia="en-AU"/>
              </w:rPr>
              <w:t xml:space="preserve">pm </w:t>
            </w:r>
          </w:p>
        </w:tc>
        <w:tc>
          <w:tcPr>
            <w:tcW w:w="1917" w:type="pct"/>
          </w:tcPr>
          <w:p w14:paraId="33885C4E" w14:textId="77777777" w:rsidR="001B105D" w:rsidRPr="005523E5" w:rsidRDefault="00270C5D" w:rsidP="005523E5">
            <w:pPr>
              <w:pStyle w:val="ListParagraph"/>
              <w:numPr>
                <w:ilvl w:val="0"/>
                <w:numId w:val="5"/>
              </w:numPr>
              <w:spacing w:before="60" w:after="0" w:line="25" w:lineRule="atLeast"/>
              <w:contextualSpacing w:val="0"/>
              <w:rPr>
                <w:b/>
                <w:lang w:eastAsia="en-AU"/>
              </w:rPr>
            </w:pPr>
            <w:hyperlink w:anchor="_Advance_and_Overseas" w:history="1">
              <w:r w:rsidR="001B105D" w:rsidRPr="005523E5">
                <w:rPr>
                  <w:b/>
                </w:rPr>
                <w:t>Advance and Overseas Findings</w:t>
              </w:r>
            </w:hyperlink>
          </w:p>
          <w:p w14:paraId="1149E2B2" w14:textId="77777777" w:rsidR="001B105D" w:rsidRDefault="001B105D" w:rsidP="005A74AD">
            <w:pPr>
              <w:pStyle w:val="ListParagraph"/>
              <w:spacing w:before="60" w:after="0" w:line="25" w:lineRule="atLeast"/>
              <w:ind w:left="360"/>
              <w:contextualSpacing w:val="0"/>
              <w:rPr>
                <w:rFonts w:eastAsia="Times New Roman" w:cstheme="minorHAnsi"/>
                <w:b/>
                <w:lang w:eastAsia="en-AU"/>
              </w:rPr>
            </w:pPr>
          </w:p>
        </w:tc>
        <w:tc>
          <w:tcPr>
            <w:tcW w:w="2466" w:type="pct"/>
          </w:tcPr>
          <w:p w14:paraId="5A8A8FA5" w14:textId="77777777" w:rsidR="001B105D" w:rsidRDefault="001B105D" w:rsidP="005A74AD">
            <w:r>
              <w:t>Tom Gilbert, Manager, National Assessments</w:t>
            </w:r>
          </w:p>
          <w:p w14:paraId="10B583A3" w14:textId="77777777" w:rsidR="003601CE" w:rsidRDefault="003601CE" w:rsidP="005A74AD">
            <w:r>
              <w:t>Malcolm Jones, Acting Manager, Business R&amp;D Policy</w:t>
            </w:r>
          </w:p>
        </w:tc>
      </w:tr>
      <w:tr w:rsidR="001B105D" w14:paraId="7F902B49" w14:textId="77777777" w:rsidTr="00BD3DD6">
        <w:trPr>
          <w:trHeight w:val="113"/>
        </w:trPr>
        <w:tc>
          <w:tcPr>
            <w:tcW w:w="617" w:type="pct"/>
          </w:tcPr>
          <w:p w14:paraId="6757F4FD" w14:textId="1A6E9E8F" w:rsidR="001B105D" w:rsidRDefault="001B105D" w:rsidP="00AE5D6F">
            <w:r>
              <w:rPr>
                <w:rFonts w:eastAsia="Times New Roman" w:cstheme="minorHAnsi"/>
                <w:lang w:eastAsia="en-AU"/>
              </w:rPr>
              <w:t xml:space="preserve">12.55pm </w:t>
            </w:r>
          </w:p>
        </w:tc>
        <w:tc>
          <w:tcPr>
            <w:tcW w:w="1917" w:type="pct"/>
          </w:tcPr>
          <w:p w14:paraId="345E7A7B" w14:textId="77777777" w:rsidR="001B105D" w:rsidRPr="005523E5" w:rsidRDefault="00270C5D" w:rsidP="005523E5">
            <w:pPr>
              <w:pStyle w:val="ListParagraph"/>
              <w:numPr>
                <w:ilvl w:val="0"/>
                <w:numId w:val="5"/>
              </w:numPr>
              <w:spacing w:before="60" w:after="0" w:line="25" w:lineRule="atLeast"/>
              <w:contextualSpacing w:val="0"/>
              <w:rPr>
                <w:rFonts w:eastAsia="Times New Roman" w:cstheme="minorHAnsi"/>
                <w:b/>
                <w:lang w:eastAsia="en-AU"/>
              </w:rPr>
            </w:pPr>
            <w:hyperlink w:anchor="_Other_Business_and" w:history="1">
              <w:r w:rsidR="001B105D" w:rsidRPr="005523E5">
                <w:rPr>
                  <w:b/>
                </w:rPr>
                <w:t>Other business and close</w:t>
              </w:r>
            </w:hyperlink>
          </w:p>
        </w:tc>
        <w:tc>
          <w:tcPr>
            <w:tcW w:w="2466" w:type="pct"/>
          </w:tcPr>
          <w:p w14:paraId="278DA218" w14:textId="77777777" w:rsidR="001B105D" w:rsidRPr="00F33335" w:rsidRDefault="001B105D" w:rsidP="005A74AD">
            <w:pPr>
              <w:spacing w:after="60" w:line="25" w:lineRule="atLeast"/>
            </w:pPr>
            <w:r>
              <w:rPr>
                <w:rFonts w:eastAsia="Times New Roman" w:cstheme="minorHAnsi"/>
                <w:lang w:eastAsia="en-AU"/>
              </w:rPr>
              <w:t>Facilitator</w:t>
            </w:r>
          </w:p>
        </w:tc>
      </w:tr>
    </w:tbl>
    <w:p w14:paraId="58D9950A" w14:textId="77777777" w:rsidR="00D60D1B" w:rsidRPr="00C937FA" w:rsidRDefault="00D60D1B" w:rsidP="00D60D1B"/>
    <w:p w14:paraId="2E3794D9" w14:textId="77777777" w:rsidR="007F20D0" w:rsidRDefault="007F20D0">
      <w:pPr>
        <w:rPr>
          <w:rFonts w:asciiTheme="majorHAnsi" w:eastAsia="Times New Roman" w:hAnsiTheme="majorHAnsi" w:cstheme="minorHAnsi"/>
          <w:b/>
          <w:color w:val="212A4C" w:themeColor="text2"/>
          <w:sz w:val="28"/>
          <w:szCs w:val="26"/>
          <w:lang w:eastAsia="en-AU"/>
        </w:rPr>
      </w:pPr>
      <w:bookmarkStart w:id="0" w:name="_1._Welcome_–"/>
      <w:bookmarkEnd w:id="0"/>
      <w:r>
        <w:rPr>
          <w:rFonts w:eastAsia="Times New Roman" w:cstheme="minorHAnsi"/>
          <w:lang w:eastAsia="en-AU"/>
        </w:rPr>
        <w:br w:type="page"/>
      </w:r>
    </w:p>
    <w:p w14:paraId="2556181C" w14:textId="77777777" w:rsidR="00D560DC" w:rsidRDefault="00054504" w:rsidP="00FB2873">
      <w:pPr>
        <w:pStyle w:val="Heading2"/>
      </w:pPr>
      <w:r>
        <w:rPr>
          <w:rFonts w:eastAsia="Times New Roman" w:cstheme="minorHAnsi"/>
          <w:lang w:eastAsia="en-AU"/>
        </w:rPr>
        <w:lastRenderedPageBreak/>
        <w:t xml:space="preserve">1. </w:t>
      </w:r>
      <w:r w:rsidR="005523E5">
        <w:t>Welcome</w:t>
      </w:r>
    </w:p>
    <w:p w14:paraId="72E7A463" w14:textId="726B80AD" w:rsidR="005523E5" w:rsidRDefault="005523E5" w:rsidP="00BD3DD6">
      <w:r>
        <w:t>The meeting commence</w:t>
      </w:r>
      <w:r w:rsidR="00CE499B">
        <w:t>d</w:t>
      </w:r>
      <w:r>
        <w:t xml:space="preserve"> with an Acknowledgement of Country and welcome to attendees. </w:t>
      </w:r>
    </w:p>
    <w:p w14:paraId="3B9A6F56" w14:textId="04FB86EC" w:rsidR="00A01617" w:rsidRDefault="005523E5" w:rsidP="00CE499B">
      <w:pPr>
        <w:rPr>
          <w:lang w:eastAsia="en-AU"/>
        </w:rPr>
      </w:pPr>
      <w:r>
        <w:rPr>
          <w:lang w:eastAsia="en-AU"/>
        </w:rPr>
        <w:t xml:space="preserve">The </w:t>
      </w:r>
      <w:r w:rsidR="007F20D0">
        <w:rPr>
          <w:lang w:eastAsia="en-AU"/>
        </w:rPr>
        <w:t xml:space="preserve">group </w:t>
      </w:r>
      <w:r w:rsidR="00CE499B">
        <w:rPr>
          <w:lang w:eastAsia="en-AU"/>
        </w:rPr>
        <w:t>was advised that</w:t>
      </w:r>
      <w:r w:rsidR="007F20D0">
        <w:rPr>
          <w:lang w:eastAsia="en-AU"/>
        </w:rPr>
        <w:t xml:space="preserve"> attenda</w:t>
      </w:r>
      <w:r w:rsidR="00F50DC8">
        <w:rPr>
          <w:lang w:eastAsia="en-AU"/>
        </w:rPr>
        <w:t>n</w:t>
      </w:r>
      <w:r w:rsidR="007F20D0">
        <w:rPr>
          <w:lang w:eastAsia="en-AU"/>
        </w:rPr>
        <w:t xml:space="preserve">ce </w:t>
      </w:r>
      <w:r>
        <w:rPr>
          <w:lang w:eastAsia="en-AU"/>
        </w:rPr>
        <w:t>was slightly larger than usual as sessions were co</w:t>
      </w:r>
      <w:r w:rsidR="00CE499B">
        <w:rPr>
          <w:lang w:eastAsia="en-AU"/>
        </w:rPr>
        <w:t>mbined</w:t>
      </w:r>
      <w:r>
        <w:rPr>
          <w:lang w:eastAsia="en-AU"/>
        </w:rPr>
        <w:t xml:space="preserve"> due to the public holiday for the national day of mourning for Queen Elizabeth II. </w:t>
      </w:r>
    </w:p>
    <w:p w14:paraId="2EAE1C5F" w14:textId="7C9F4DAE" w:rsidR="00CD5A1D" w:rsidRPr="00D24266" w:rsidRDefault="00CD5A1D" w:rsidP="00BD3DD6">
      <w:r>
        <w:t>AusIndustry</w:t>
      </w:r>
      <w:r w:rsidR="005523E5">
        <w:t xml:space="preserve"> </w:t>
      </w:r>
      <w:r w:rsidR="00CE499B">
        <w:t xml:space="preserve">advised of </w:t>
      </w:r>
      <w:r w:rsidR="005523E5">
        <w:t xml:space="preserve">multiple staffing changes since the last State Reference Group </w:t>
      </w:r>
      <w:r w:rsidR="00CE499B">
        <w:t xml:space="preserve">(SRG) </w:t>
      </w:r>
      <w:r w:rsidR="005523E5">
        <w:t>meetings</w:t>
      </w:r>
      <w:r w:rsidR="00CE499B">
        <w:t xml:space="preserve">, including </w:t>
      </w:r>
      <w:r w:rsidR="005523E5">
        <w:t>a new General Manager of</w:t>
      </w:r>
      <w:r w:rsidR="006947DA">
        <w:t xml:space="preserve"> the R&amp;DTI branch, Tara Oliver. </w:t>
      </w:r>
    </w:p>
    <w:p w14:paraId="68833217" w14:textId="77777777" w:rsidR="0048137A" w:rsidRDefault="00FB2873" w:rsidP="00FB2873">
      <w:pPr>
        <w:pStyle w:val="Heading2"/>
        <w:tabs>
          <w:tab w:val="left" w:pos="284"/>
        </w:tabs>
      </w:pPr>
      <w:r>
        <w:t xml:space="preserve">2. </w:t>
      </w:r>
      <w:r w:rsidR="00D60D1B">
        <w:t>AusIndustry Insights</w:t>
      </w:r>
    </w:p>
    <w:p w14:paraId="0C25846F" w14:textId="77777777" w:rsidR="00157EFE" w:rsidRDefault="00054504" w:rsidP="00157EFE">
      <w:pPr>
        <w:pStyle w:val="Heading3"/>
      </w:pPr>
      <w:bookmarkStart w:id="1" w:name="_AusIndustry_Insights_–"/>
      <w:bookmarkStart w:id="2" w:name="_2.1_Customer_Portal"/>
      <w:bookmarkEnd w:id="1"/>
      <w:bookmarkEnd w:id="2"/>
      <w:r>
        <w:t xml:space="preserve">2.1 </w:t>
      </w:r>
      <w:r w:rsidR="00157EFE">
        <w:t>Customer Portal</w:t>
      </w:r>
      <w:r w:rsidR="005523E5">
        <w:t xml:space="preserve"> (Keelie Williams)</w:t>
      </w:r>
    </w:p>
    <w:p w14:paraId="0911DB5C" w14:textId="5DA304D9" w:rsidR="00FD11A0" w:rsidRPr="007F20D0" w:rsidRDefault="009805A4" w:rsidP="00CE499B">
      <w:pPr>
        <w:pStyle w:val="Bullet1"/>
        <w:rPr>
          <w:color w:val="auto"/>
        </w:rPr>
      </w:pPr>
      <w:r w:rsidRPr="009805A4">
        <w:rPr>
          <w:color w:val="auto"/>
        </w:rPr>
        <w:t>The registration deadline on 3 May 2022 for companies with an income year that ended on 30 June 2021 was a peak lodgement date</w:t>
      </w:r>
      <w:r w:rsidR="00CE499B">
        <w:rPr>
          <w:color w:val="auto"/>
        </w:rPr>
        <w:t xml:space="preserve"> and the first </w:t>
      </w:r>
      <w:r w:rsidRPr="009805A4">
        <w:rPr>
          <w:color w:val="auto"/>
        </w:rPr>
        <w:t>to occur since introduc</w:t>
      </w:r>
      <w:r w:rsidR="00CE499B">
        <w:rPr>
          <w:color w:val="auto"/>
        </w:rPr>
        <w:t xml:space="preserve">ing </w:t>
      </w:r>
      <w:r w:rsidRPr="009805A4">
        <w:rPr>
          <w:color w:val="auto"/>
        </w:rPr>
        <w:t xml:space="preserve">the </w:t>
      </w:r>
      <w:r w:rsidR="007F20D0">
        <w:rPr>
          <w:color w:val="auto"/>
        </w:rPr>
        <w:t>customer portal on 5 July 2021</w:t>
      </w:r>
      <w:r w:rsidR="00F50DC8">
        <w:rPr>
          <w:color w:val="auto"/>
        </w:rPr>
        <w:t>.</w:t>
      </w:r>
      <w:r w:rsidR="007F20D0">
        <w:rPr>
          <w:color w:val="auto"/>
        </w:rPr>
        <w:t xml:space="preserve"> </w:t>
      </w:r>
      <w:r w:rsidR="00F50DC8">
        <w:rPr>
          <w:color w:val="auto"/>
        </w:rPr>
        <w:t>T</w:t>
      </w:r>
      <w:r w:rsidRPr="007F20D0">
        <w:rPr>
          <w:color w:val="auto"/>
        </w:rPr>
        <w:t>he portal handled the increased demand</w:t>
      </w:r>
      <w:r w:rsidR="00CE499B">
        <w:rPr>
          <w:color w:val="auto"/>
        </w:rPr>
        <w:t xml:space="preserve"> well</w:t>
      </w:r>
      <w:r w:rsidR="00F50DC8">
        <w:rPr>
          <w:color w:val="auto"/>
        </w:rPr>
        <w:t>.</w:t>
      </w:r>
    </w:p>
    <w:p w14:paraId="1817C3A1" w14:textId="1EB7E393" w:rsidR="009805A4" w:rsidRPr="009805A4" w:rsidRDefault="00882CF6" w:rsidP="009805A4">
      <w:pPr>
        <w:pStyle w:val="Bullet1"/>
        <w:rPr>
          <w:color w:val="auto"/>
        </w:rPr>
      </w:pPr>
      <w:r>
        <w:rPr>
          <w:color w:val="auto"/>
        </w:rPr>
        <w:t>Recent s</w:t>
      </w:r>
      <w:r w:rsidR="007F20D0">
        <w:rPr>
          <w:color w:val="auto"/>
        </w:rPr>
        <w:t>ystem</w:t>
      </w:r>
      <w:r w:rsidR="009805A4" w:rsidRPr="009805A4">
        <w:rPr>
          <w:color w:val="auto"/>
        </w:rPr>
        <w:t xml:space="preserve"> </w:t>
      </w:r>
      <w:r w:rsidR="00CE499B">
        <w:rPr>
          <w:color w:val="auto"/>
        </w:rPr>
        <w:t xml:space="preserve">updates </w:t>
      </w:r>
      <w:r w:rsidR="007F20D0">
        <w:rPr>
          <w:color w:val="auto"/>
        </w:rPr>
        <w:t>included the following:</w:t>
      </w:r>
      <w:r w:rsidR="009805A4" w:rsidRPr="009805A4">
        <w:rPr>
          <w:color w:val="auto"/>
        </w:rPr>
        <w:t xml:space="preserve"> </w:t>
      </w:r>
    </w:p>
    <w:p w14:paraId="62B8C184" w14:textId="480A9E4C" w:rsidR="009805A4" w:rsidRPr="00BA2B93" w:rsidRDefault="001A2D78" w:rsidP="00BD3DD6">
      <w:pPr>
        <w:pStyle w:val="Bullet2"/>
      </w:pPr>
      <w:r>
        <w:rPr>
          <w:color w:val="auto"/>
        </w:rPr>
        <w:t xml:space="preserve">Transitioning to the Australian Government </w:t>
      </w:r>
      <w:r w:rsidR="009805A4" w:rsidRPr="009805A4">
        <w:rPr>
          <w:color w:val="auto"/>
        </w:rPr>
        <w:t>Digital Identity</w:t>
      </w:r>
      <w:r w:rsidR="007F20D0">
        <w:rPr>
          <w:color w:val="auto"/>
        </w:rPr>
        <w:t xml:space="preserve"> </w:t>
      </w:r>
      <w:r>
        <w:rPr>
          <w:color w:val="auto"/>
        </w:rPr>
        <w:t>System to verify users, providing additional privacy and security assurances. The login button to the portal now displays ‘Continue with Digital Identity’ replacing the previous ‘Login with myGovId’ button. Cur</w:t>
      </w:r>
      <w:r w:rsidR="007F20D0">
        <w:rPr>
          <w:color w:val="auto"/>
        </w:rPr>
        <w:t>rently</w:t>
      </w:r>
      <w:r w:rsidR="009805A4" w:rsidRPr="009805A4">
        <w:rPr>
          <w:color w:val="auto"/>
        </w:rPr>
        <w:t xml:space="preserve"> myGovID </w:t>
      </w:r>
      <w:r w:rsidR="007F20D0">
        <w:rPr>
          <w:color w:val="auto"/>
        </w:rPr>
        <w:t>i</w:t>
      </w:r>
      <w:r w:rsidR="009805A4" w:rsidRPr="009805A4">
        <w:rPr>
          <w:color w:val="auto"/>
        </w:rPr>
        <w:t xml:space="preserve">s the </w:t>
      </w:r>
      <w:r w:rsidR="009805A4">
        <w:t>only service</w:t>
      </w:r>
      <w:r w:rsidR="007F20D0">
        <w:t xml:space="preserve"> available however this update </w:t>
      </w:r>
      <w:r w:rsidR="009805A4">
        <w:t xml:space="preserve">paves the way for future alternatives. Further information can be found </w:t>
      </w:r>
      <w:r w:rsidR="009805A4" w:rsidRPr="00CA2A36">
        <w:t xml:space="preserve">at </w:t>
      </w:r>
      <w:hyperlink r:id="rId12" w:history="1">
        <w:r w:rsidR="009805A4" w:rsidRPr="00CA2A36">
          <w:rPr>
            <w:rStyle w:val="Hyperlink"/>
          </w:rPr>
          <w:t>https://www.digitalidentity.gov.au/</w:t>
        </w:r>
      </w:hyperlink>
      <w:r w:rsidR="009805A4">
        <w:t>.</w:t>
      </w:r>
    </w:p>
    <w:p w14:paraId="64E4D079" w14:textId="77777777" w:rsidR="009805A4" w:rsidRPr="00BA2B93" w:rsidRDefault="007F20D0" w:rsidP="00BD3DD6">
      <w:pPr>
        <w:pStyle w:val="Bullet2"/>
      </w:pPr>
      <w:r>
        <w:rPr>
          <w:lang w:eastAsia="en-AU"/>
        </w:rPr>
        <w:t>Australian and New Zealand Standard Research Classification</w:t>
      </w:r>
      <w:r w:rsidRPr="00885575">
        <w:rPr>
          <w:lang w:eastAsia="en-AU"/>
        </w:rPr>
        <w:t xml:space="preserve"> </w:t>
      </w:r>
      <w:r>
        <w:rPr>
          <w:lang w:eastAsia="en-AU"/>
        </w:rPr>
        <w:t>(</w:t>
      </w:r>
      <w:r w:rsidRPr="00885575">
        <w:rPr>
          <w:lang w:eastAsia="en-AU"/>
        </w:rPr>
        <w:t>ANZSRC</w:t>
      </w:r>
      <w:r>
        <w:rPr>
          <w:lang w:eastAsia="en-AU"/>
        </w:rPr>
        <w:t xml:space="preserve">) codes were updated to the 2020 definitions. </w:t>
      </w:r>
      <w:r w:rsidR="009805A4" w:rsidRPr="00CA2A36">
        <w:t>Further information on ANZSRC</w:t>
      </w:r>
      <w:r w:rsidR="009805A4">
        <w:t xml:space="preserve"> definitions </w:t>
      </w:r>
      <w:r w:rsidR="009805A4" w:rsidRPr="00CA2A36">
        <w:t xml:space="preserve">is available </w:t>
      </w:r>
      <w:r w:rsidR="009805A4">
        <w:t>on</w:t>
      </w:r>
      <w:r w:rsidR="009805A4" w:rsidRPr="00CA2A36">
        <w:t xml:space="preserve"> the </w:t>
      </w:r>
      <w:hyperlink r:id="rId13" w:history="1">
        <w:r w:rsidR="009805A4">
          <w:rPr>
            <w:rStyle w:val="Hyperlink"/>
          </w:rPr>
          <w:t>ABS website</w:t>
        </w:r>
      </w:hyperlink>
      <w:r w:rsidR="009805A4">
        <w:t>.</w:t>
      </w:r>
    </w:p>
    <w:p w14:paraId="391EA4E6" w14:textId="41615DD7" w:rsidR="009805A4" w:rsidRPr="009805A4" w:rsidRDefault="00CE499B" w:rsidP="00BD3DD6">
      <w:pPr>
        <w:pStyle w:val="Bullet2"/>
        <w:rPr>
          <w:color w:val="auto"/>
        </w:rPr>
      </w:pPr>
      <w:r>
        <w:t>T</w:t>
      </w:r>
      <w:r w:rsidR="009805A4">
        <w:t xml:space="preserve">he </w:t>
      </w:r>
      <w:r>
        <w:t xml:space="preserve">registered </w:t>
      </w:r>
      <w:r w:rsidR="009805A4">
        <w:t xml:space="preserve">Research Service Provider and Cooperative Research Centre </w:t>
      </w:r>
      <w:r w:rsidR="007F20D0">
        <w:rPr>
          <w:color w:val="auto"/>
        </w:rPr>
        <w:t>list was updated in the portal</w:t>
      </w:r>
      <w:r w:rsidRPr="00CE499B">
        <w:t xml:space="preserve"> </w:t>
      </w:r>
      <w:r>
        <w:rPr>
          <w:color w:val="auto"/>
        </w:rPr>
        <w:t>o</w:t>
      </w:r>
      <w:r w:rsidRPr="00CE499B">
        <w:rPr>
          <w:color w:val="auto"/>
        </w:rPr>
        <w:t>n 31 August 2022</w:t>
      </w:r>
      <w:r w:rsidR="007F20D0">
        <w:rPr>
          <w:color w:val="auto"/>
        </w:rPr>
        <w:t>.</w:t>
      </w:r>
    </w:p>
    <w:p w14:paraId="67A8D774" w14:textId="4F59D28D" w:rsidR="00FD11A0" w:rsidRPr="00FD11A0" w:rsidRDefault="00882CF6" w:rsidP="00FD11A0">
      <w:pPr>
        <w:pStyle w:val="Bullet1"/>
        <w:rPr>
          <w:color w:val="auto"/>
        </w:rPr>
      </w:pPr>
      <w:r>
        <w:rPr>
          <w:color w:val="auto"/>
        </w:rPr>
        <w:t>N</w:t>
      </w:r>
      <w:r w:rsidR="009805A4" w:rsidRPr="009805A4">
        <w:rPr>
          <w:color w:val="auto"/>
        </w:rPr>
        <w:t xml:space="preserve">o major updates </w:t>
      </w:r>
      <w:r>
        <w:rPr>
          <w:color w:val="auto"/>
        </w:rPr>
        <w:t xml:space="preserve">are </w:t>
      </w:r>
      <w:r w:rsidR="009805A4" w:rsidRPr="009805A4">
        <w:rPr>
          <w:color w:val="auto"/>
        </w:rPr>
        <w:t>planned for the rest of 2022.</w:t>
      </w:r>
    </w:p>
    <w:p w14:paraId="535E7D6B" w14:textId="30A932F1" w:rsidR="009805A4" w:rsidRPr="009805A4" w:rsidRDefault="009805A4" w:rsidP="009805A4">
      <w:pPr>
        <w:pStyle w:val="Bullet1"/>
        <w:rPr>
          <w:color w:val="auto"/>
        </w:rPr>
      </w:pPr>
      <w:r w:rsidRPr="009805A4">
        <w:rPr>
          <w:color w:val="auto"/>
        </w:rPr>
        <w:t xml:space="preserve">AusIndustry </w:t>
      </w:r>
      <w:r w:rsidR="00F50DC8">
        <w:rPr>
          <w:color w:val="auto"/>
        </w:rPr>
        <w:t>received</w:t>
      </w:r>
      <w:r w:rsidRPr="009805A4">
        <w:rPr>
          <w:color w:val="auto"/>
        </w:rPr>
        <w:t xml:space="preserve"> several inquiries relating to loss of </w:t>
      </w:r>
      <w:r w:rsidR="00882CF6">
        <w:rPr>
          <w:color w:val="auto"/>
        </w:rPr>
        <w:t xml:space="preserve">portal </w:t>
      </w:r>
      <w:r w:rsidRPr="009805A4">
        <w:rPr>
          <w:color w:val="auto"/>
        </w:rPr>
        <w:t xml:space="preserve">access which </w:t>
      </w:r>
      <w:r w:rsidR="00882CF6">
        <w:rPr>
          <w:color w:val="auto"/>
        </w:rPr>
        <w:t xml:space="preserve">occurs when </w:t>
      </w:r>
      <w:r w:rsidRPr="009805A4">
        <w:rPr>
          <w:color w:val="auto"/>
        </w:rPr>
        <w:t xml:space="preserve">authorisations </w:t>
      </w:r>
      <w:r w:rsidR="00882CF6">
        <w:rPr>
          <w:color w:val="auto"/>
        </w:rPr>
        <w:t xml:space="preserve">are </w:t>
      </w:r>
      <w:r w:rsidRPr="009805A4">
        <w:rPr>
          <w:color w:val="auto"/>
        </w:rPr>
        <w:t xml:space="preserve">not extended by the R&amp;D </w:t>
      </w:r>
      <w:r w:rsidR="00882CF6">
        <w:rPr>
          <w:color w:val="auto"/>
        </w:rPr>
        <w:t>e</w:t>
      </w:r>
      <w:r w:rsidRPr="009805A4">
        <w:rPr>
          <w:color w:val="auto"/>
        </w:rPr>
        <w:t>ntity.</w:t>
      </w:r>
      <w:r w:rsidR="007F20D0">
        <w:rPr>
          <w:color w:val="auto"/>
        </w:rPr>
        <w:t xml:space="preserve"> Companies should review the authorisations they have set up for third parties</w:t>
      </w:r>
      <w:r w:rsidR="00882CF6">
        <w:rPr>
          <w:color w:val="auto"/>
        </w:rPr>
        <w:t xml:space="preserve"> well before their submission deadlines</w:t>
      </w:r>
      <w:r w:rsidR="007F20D0">
        <w:rPr>
          <w:color w:val="auto"/>
        </w:rPr>
        <w:t xml:space="preserve">. </w:t>
      </w:r>
    </w:p>
    <w:p w14:paraId="6AFE4A82" w14:textId="66141998" w:rsidR="009805A4" w:rsidRPr="009805A4" w:rsidRDefault="007F20D0" w:rsidP="009805A4">
      <w:pPr>
        <w:pStyle w:val="Bullet1"/>
        <w:rPr>
          <w:color w:val="auto"/>
        </w:rPr>
      </w:pPr>
      <w:r>
        <w:rPr>
          <w:color w:val="auto"/>
        </w:rPr>
        <w:t>Applications in the portal will b</w:t>
      </w:r>
      <w:r w:rsidR="00882CF6">
        <w:rPr>
          <w:color w:val="auto"/>
        </w:rPr>
        <w:t>e</w:t>
      </w:r>
      <w:r>
        <w:rPr>
          <w:color w:val="auto"/>
        </w:rPr>
        <w:t xml:space="preserve"> pre-filled when:</w:t>
      </w:r>
    </w:p>
    <w:p w14:paraId="387D58DC" w14:textId="77777777" w:rsidR="007F20D0" w:rsidRPr="00BD3DD6" w:rsidRDefault="009805A4" w:rsidP="00BD3DD6">
      <w:pPr>
        <w:pStyle w:val="Bullet2"/>
        <w:rPr>
          <w:lang w:eastAsia="en-AU"/>
        </w:rPr>
      </w:pPr>
      <w:r w:rsidRPr="00BD3DD6">
        <w:rPr>
          <w:lang w:eastAsia="en-AU"/>
        </w:rPr>
        <w:t>the relevant draft is created after a previous application has been submitted</w:t>
      </w:r>
      <w:r w:rsidR="007F20D0" w:rsidRPr="00BD3DD6">
        <w:rPr>
          <w:lang w:eastAsia="en-AU"/>
        </w:rPr>
        <w:t xml:space="preserve"> through the portal</w:t>
      </w:r>
    </w:p>
    <w:p w14:paraId="3BC6BEAC" w14:textId="2C26D874" w:rsidR="00B95D99" w:rsidRPr="00BD3DD6" w:rsidRDefault="007F20D0" w:rsidP="00BD3DD6">
      <w:pPr>
        <w:pStyle w:val="Bullet2"/>
        <w:rPr>
          <w:lang w:eastAsia="en-AU"/>
        </w:rPr>
      </w:pPr>
      <w:r w:rsidRPr="00BD3DD6">
        <w:rPr>
          <w:lang w:eastAsia="en-AU"/>
        </w:rPr>
        <w:t xml:space="preserve">the projects/activities </w:t>
      </w:r>
      <w:r w:rsidR="009805A4" w:rsidRPr="00BD3DD6">
        <w:rPr>
          <w:lang w:eastAsia="en-AU"/>
        </w:rPr>
        <w:t xml:space="preserve">have an end date in, or after, the income period being registered. </w:t>
      </w:r>
    </w:p>
    <w:p w14:paraId="528DA2A7" w14:textId="77777777" w:rsidR="00054504" w:rsidRDefault="00054504" w:rsidP="001032F5">
      <w:pPr>
        <w:pStyle w:val="Heading3"/>
      </w:pPr>
      <w:r w:rsidRPr="00054504">
        <w:t xml:space="preserve">2.2 Registrations Update </w:t>
      </w:r>
      <w:r w:rsidR="00FD45F9">
        <w:t>(</w:t>
      </w:r>
      <w:r w:rsidRPr="00054504">
        <w:t>Joanne Taylor</w:t>
      </w:r>
      <w:r w:rsidR="002947CB">
        <w:t>)</w:t>
      </w:r>
    </w:p>
    <w:p w14:paraId="1EA5B62A" w14:textId="77777777" w:rsidR="00984AB1" w:rsidRPr="00FB2873" w:rsidRDefault="00FD45F9" w:rsidP="00984AB1">
      <w:pPr>
        <w:rPr>
          <w:rFonts w:cstheme="minorHAnsi"/>
          <w:b/>
          <w:color w:val="auto"/>
        </w:rPr>
      </w:pPr>
      <w:r>
        <w:rPr>
          <w:rFonts w:cstheme="minorHAnsi"/>
          <w:b/>
          <w:color w:val="auto"/>
        </w:rPr>
        <w:t>31 October Deadline</w:t>
      </w:r>
    </w:p>
    <w:p w14:paraId="75AFF948" w14:textId="66FF3EDC" w:rsidR="00B465EB" w:rsidRDefault="00E35B62" w:rsidP="006106FA">
      <w:pPr>
        <w:pStyle w:val="Bullet1"/>
      </w:pPr>
      <w:r w:rsidRPr="00882CF6">
        <w:rPr>
          <w:rFonts w:cstheme="minorHAnsi"/>
          <w:color w:val="auto"/>
        </w:rPr>
        <w:t xml:space="preserve">The deadline to submit registrations for </w:t>
      </w:r>
      <w:r w:rsidR="00984AB1" w:rsidRPr="00882CF6">
        <w:rPr>
          <w:rFonts w:cstheme="minorHAnsi"/>
          <w:color w:val="auto"/>
        </w:rPr>
        <w:t>R</w:t>
      </w:r>
      <w:r w:rsidR="00984AB1" w:rsidRPr="007F655C">
        <w:t xml:space="preserve">&amp;D </w:t>
      </w:r>
      <w:r>
        <w:t>entities with an income year that ended in December 2021 is Monday 31 October 2022 (being 10 months after the end of the financial year in which the R&amp;D activities are</w:t>
      </w:r>
      <w:r w:rsidR="00BD3DD6">
        <w:t xml:space="preserve"> undertaken). </w:t>
      </w:r>
      <w:r w:rsidR="00882CF6">
        <w:t>As setting up a p</w:t>
      </w:r>
      <w:r w:rsidR="00984AB1" w:rsidRPr="007F655C">
        <w:t>ortal account can take a lot longer than expected</w:t>
      </w:r>
      <w:r w:rsidR="00B465EB">
        <w:t xml:space="preserve">, </w:t>
      </w:r>
      <w:r w:rsidR="00BC54B2">
        <w:t>this process should be started well in advance of the deadline</w:t>
      </w:r>
      <w:r w:rsidR="00B465EB" w:rsidRPr="007F655C">
        <w:t>. </w:t>
      </w:r>
      <w:r w:rsidR="00FB2873" w:rsidRPr="007F655C">
        <w:t xml:space="preserve"> </w:t>
      </w:r>
    </w:p>
    <w:p w14:paraId="7AFB4460" w14:textId="77777777" w:rsidR="00984AB1" w:rsidRPr="00037A66" w:rsidRDefault="00984AB1" w:rsidP="00984AB1">
      <w:pPr>
        <w:rPr>
          <w:b/>
        </w:rPr>
      </w:pPr>
      <w:r w:rsidRPr="00037A66">
        <w:rPr>
          <w:b/>
        </w:rPr>
        <w:t>Registrations of Research Service Providers</w:t>
      </w:r>
      <w:r w:rsidR="00BC54B2">
        <w:rPr>
          <w:b/>
        </w:rPr>
        <w:t xml:space="preserve"> (RSPs)</w:t>
      </w:r>
      <w:r w:rsidRPr="00037A66">
        <w:rPr>
          <w:b/>
        </w:rPr>
        <w:t xml:space="preserve"> </w:t>
      </w:r>
    </w:p>
    <w:p w14:paraId="147B1595" w14:textId="1E2FD1F9" w:rsidR="005B255C" w:rsidRDefault="00BC54B2" w:rsidP="002779AF">
      <w:pPr>
        <w:pStyle w:val="Bullet1"/>
      </w:pPr>
      <w:r>
        <w:t xml:space="preserve">All RSP registration </w:t>
      </w:r>
      <w:r w:rsidR="002779AF">
        <w:t xml:space="preserve">applications received by 30 June </w:t>
      </w:r>
      <w:r>
        <w:t xml:space="preserve">2021 </w:t>
      </w:r>
      <w:r w:rsidR="002779AF">
        <w:t>have been proce</w:t>
      </w:r>
      <w:r>
        <w:t>ssed with 174 organisations registering for the 2022-23 year.</w:t>
      </w:r>
    </w:p>
    <w:p w14:paraId="50F7AE99" w14:textId="5C20EA67" w:rsidR="005B255C" w:rsidRDefault="005B255C" w:rsidP="005B255C">
      <w:pPr>
        <w:pStyle w:val="Bullet1"/>
      </w:pPr>
      <w:r>
        <w:t>This year</w:t>
      </w:r>
      <w:r w:rsidR="00596E08">
        <w:t>,</w:t>
      </w:r>
      <w:r>
        <w:t xml:space="preserve"> RSPs </w:t>
      </w:r>
      <w:r w:rsidR="00350D53">
        <w:t>employed</w:t>
      </w:r>
      <w:r>
        <w:t xml:space="preserve"> the updated </w:t>
      </w:r>
      <w:r>
        <w:rPr>
          <w:lang w:eastAsia="en-AU"/>
        </w:rPr>
        <w:t>ANZSR</w:t>
      </w:r>
      <w:r w:rsidR="00596E08">
        <w:rPr>
          <w:lang w:eastAsia="en-AU"/>
        </w:rPr>
        <w:t>C</w:t>
      </w:r>
      <w:r>
        <w:t xml:space="preserve"> codes</w:t>
      </w:r>
      <w:r w:rsidR="00350D53">
        <w:t xml:space="preserve">. This </w:t>
      </w:r>
      <w:r>
        <w:t xml:space="preserve">required </w:t>
      </w:r>
      <w:r w:rsidR="00882CF6">
        <w:t xml:space="preserve">applicants to undertake </w:t>
      </w:r>
      <w:r>
        <w:t>an additional process to transition from the old codes to the</w:t>
      </w:r>
      <w:r w:rsidR="00350D53">
        <w:t xml:space="preserve"> current codes.</w:t>
      </w:r>
      <w:r>
        <w:t xml:space="preserve"> </w:t>
      </w:r>
    </w:p>
    <w:p w14:paraId="48F209A2" w14:textId="4F579253" w:rsidR="00BC54B2" w:rsidRDefault="005B255C" w:rsidP="005B255C">
      <w:pPr>
        <w:pStyle w:val="Bullet1"/>
      </w:pPr>
      <w:r>
        <w:lastRenderedPageBreak/>
        <w:t xml:space="preserve">The </w:t>
      </w:r>
      <w:r w:rsidRPr="0032402F">
        <w:t>RSP register for the 2022</w:t>
      </w:r>
      <w:r w:rsidR="00882CF6">
        <w:t>-</w:t>
      </w:r>
      <w:r w:rsidRPr="0032402F">
        <w:t xml:space="preserve">23 income year will be </w:t>
      </w:r>
      <w:r w:rsidR="00882CF6">
        <w:t xml:space="preserve">updated </w:t>
      </w:r>
      <w:r>
        <w:t xml:space="preserve">on business.gov.au </w:t>
      </w:r>
      <w:r w:rsidR="00882CF6">
        <w:t>to</w:t>
      </w:r>
      <w:r>
        <w:t xml:space="preserve"> </w:t>
      </w:r>
      <w:r w:rsidRPr="0032402F">
        <w:t xml:space="preserve">reflect the 2020 </w:t>
      </w:r>
      <w:r>
        <w:t xml:space="preserve">ANZSRC </w:t>
      </w:r>
      <w:r w:rsidRPr="0032402F">
        <w:t>codes.</w:t>
      </w:r>
      <w:r w:rsidRPr="00BA1166">
        <w:t xml:space="preserve"> </w:t>
      </w:r>
    </w:p>
    <w:p w14:paraId="086874D4" w14:textId="77777777" w:rsidR="00984AB1" w:rsidRPr="00037A66" w:rsidRDefault="00984AB1" w:rsidP="00984AB1">
      <w:pPr>
        <w:pStyle w:val="Bullet1"/>
        <w:numPr>
          <w:ilvl w:val="0"/>
          <w:numId w:val="0"/>
        </w:numPr>
        <w:rPr>
          <w:b/>
        </w:rPr>
      </w:pPr>
      <w:r w:rsidRPr="00037A66">
        <w:rPr>
          <w:b/>
        </w:rPr>
        <w:t xml:space="preserve">Clinical Trials Determination </w:t>
      </w:r>
    </w:p>
    <w:p w14:paraId="5A7E9FC2" w14:textId="7C07855D" w:rsidR="001B105D" w:rsidRDefault="00882CF6" w:rsidP="006106FA">
      <w:pPr>
        <w:pStyle w:val="Bullet1"/>
      </w:pPr>
      <w:r>
        <w:t>50</w:t>
      </w:r>
      <w:r w:rsidRPr="00DB34F5">
        <w:t xml:space="preserve"> </w:t>
      </w:r>
      <w:r w:rsidR="001B105D" w:rsidRPr="00DB34F5">
        <w:t>companies</w:t>
      </w:r>
      <w:r>
        <w:t xml:space="preserve"> have</w:t>
      </w:r>
      <w:r w:rsidR="001B105D" w:rsidRPr="00DB34F5">
        <w:t xml:space="preserve"> employed the </w:t>
      </w:r>
      <w:r w:rsidR="00350D53">
        <w:t>Clinical Trials D</w:t>
      </w:r>
      <w:r w:rsidR="001B105D" w:rsidRPr="00DB34F5">
        <w:t xml:space="preserve">etermination </w:t>
      </w:r>
      <w:r>
        <w:t xml:space="preserve">to </w:t>
      </w:r>
      <w:r w:rsidR="001B105D" w:rsidRPr="00DB34F5">
        <w:t>re</w:t>
      </w:r>
      <w:r w:rsidR="005B255C">
        <w:t>gister their R&amp;D activities since it came into effect in April</w:t>
      </w:r>
      <w:r>
        <w:t xml:space="preserve"> 2022</w:t>
      </w:r>
      <w:r w:rsidR="005B255C">
        <w:t>.</w:t>
      </w:r>
      <w:r>
        <w:t xml:space="preserve"> </w:t>
      </w:r>
      <w:r w:rsidR="001B105D" w:rsidRPr="00DB34F5">
        <w:t xml:space="preserve">The determination has significantly reduced the complexity of assessing </w:t>
      </w:r>
      <w:r>
        <w:t xml:space="preserve">relevant </w:t>
      </w:r>
      <w:r w:rsidR="001B105D" w:rsidRPr="00DB34F5">
        <w:t xml:space="preserve">applications and, in turn, substantially reduced our registration processing times. </w:t>
      </w:r>
    </w:p>
    <w:p w14:paraId="46C3C904" w14:textId="63C0C720" w:rsidR="00037A66" w:rsidRDefault="005B255C" w:rsidP="001B105D">
      <w:pPr>
        <w:pStyle w:val="Bullet1"/>
      </w:pPr>
      <w:r>
        <w:t>AusIndustry</w:t>
      </w:r>
      <w:r w:rsidR="00037A66">
        <w:t xml:space="preserve"> </w:t>
      </w:r>
      <w:r w:rsidR="00596E08">
        <w:t xml:space="preserve">is </w:t>
      </w:r>
      <w:r w:rsidR="00037A66">
        <w:t>analysing opportunities for future determinat</w:t>
      </w:r>
      <w:r>
        <w:t>ions and welcome all suggestions</w:t>
      </w:r>
      <w:r w:rsidR="00882CF6">
        <w:t xml:space="preserve"> </w:t>
      </w:r>
      <w:r w:rsidR="00596E08">
        <w:t>by emailing:</w:t>
      </w:r>
      <w:r>
        <w:t xml:space="preserve"> </w:t>
      </w:r>
      <w:hyperlink r:id="rId14" w:history="1">
        <w:r w:rsidRPr="00CB5AE2">
          <w:rPr>
            <w:rStyle w:val="Hyperlink"/>
          </w:rPr>
          <w:t>rdti.engagement@industry.gov.au</w:t>
        </w:r>
      </w:hyperlink>
      <w:r>
        <w:t xml:space="preserve">. </w:t>
      </w:r>
    </w:p>
    <w:p w14:paraId="60037BBD" w14:textId="77777777" w:rsidR="001032F5" w:rsidRDefault="00054504" w:rsidP="001032F5">
      <w:pPr>
        <w:pStyle w:val="Heading3"/>
      </w:pPr>
      <w:bookmarkStart w:id="3" w:name="_2.3_Data_Insights"/>
      <w:bookmarkEnd w:id="3"/>
      <w:r w:rsidRPr="00054504">
        <w:t xml:space="preserve">2.3 </w:t>
      </w:r>
      <w:r w:rsidR="005B255C">
        <w:t>Data Insights (</w:t>
      </w:r>
      <w:r w:rsidR="00116D56">
        <w:t>Keelie Williams</w:t>
      </w:r>
      <w:r w:rsidR="002947CB">
        <w:t>)</w:t>
      </w:r>
    </w:p>
    <w:p w14:paraId="4FF965BB" w14:textId="2E554B01" w:rsidR="005B255C" w:rsidRPr="000A494B" w:rsidRDefault="005B255C" w:rsidP="006106FA">
      <w:pPr>
        <w:pStyle w:val="Bullet1"/>
        <w:rPr>
          <w:szCs w:val="22"/>
        </w:rPr>
      </w:pPr>
      <w:r w:rsidRPr="000A494B">
        <w:rPr>
          <w:szCs w:val="22"/>
        </w:rPr>
        <w:t>During the 2019</w:t>
      </w:r>
      <w:r w:rsidR="00882CF6" w:rsidRPr="000A494B">
        <w:rPr>
          <w:szCs w:val="22"/>
        </w:rPr>
        <w:t>-</w:t>
      </w:r>
      <w:r w:rsidRPr="000A494B">
        <w:rPr>
          <w:szCs w:val="22"/>
        </w:rPr>
        <w:t>20 income year</w:t>
      </w:r>
      <w:r w:rsidR="00596E08">
        <w:rPr>
          <w:szCs w:val="22"/>
        </w:rPr>
        <w:t>,</w:t>
      </w:r>
      <w:r w:rsidRPr="000A494B">
        <w:rPr>
          <w:szCs w:val="22"/>
        </w:rPr>
        <w:t xml:space="preserve"> there</w:t>
      </w:r>
      <w:r w:rsidR="00596E08">
        <w:rPr>
          <w:szCs w:val="22"/>
        </w:rPr>
        <w:t xml:space="preserve"> </w:t>
      </w:r>
      <w:r w:rsidR="00DA2245" w:rsidRPr="000A494B">
        <w:rPr>
          <w:szCs w:val="22"/>
        </w:rPr>
        <w:t>were 12,401 registrations and</w:t>
      </w:r>
      <w:r w:rsidR="00596E08">
        <w:rPr>
          <w:szCs w:val="22"/>
        </w:rPr>
        <w:t xml:space="preserve"> </w:t>
      </w:r>
      <w:r w:rsidR="00DA2245" w:rsidRPr="000A494B">
        <w:rPr>
          <w:szCs w:val="22"/>
        </w:rPr>
        <w:t>a total R&amp;D expe</w:t>
      </w:r>
      <w:r w:rsidRPr="000A494B">
        <w:rPr>
          <w:szCs w:val="22"/>
        </w:rPr>
        <w:t>nditure of $12.6 billion.</w:t>
      </w:r>
      <w:r w:rsidR="00BD3DD6">
        <w:rPr>
          <w:szCs w:val="22"/>
        </w:rPr>
        <w:t xml:space="preserve"> </w:t>
      </w:r>
      <w:r w:rsidRPr="000A494B">
        <w:rPr>
          <w:szCs w:val="22"/>
        </w:rPr>
        <w:t>Registrations and R&amp;D expenditure have not changed significantly over the past few years.</w:t>
      </w:r>
    </w:p>
    <w:p w14:paraId="50566F5E" w14:textId="1D6C22BC" w:rsidR="00DA2245" w:rsidRPr="000A494B" w:rsidRDefault="00DA2245" w:rsidP="006106FA">
      <w:pPr>
        <w:pStyle w:val="Bullet1"/>
        <w:rPr>
          <w:szCs w:val="22"/>
        </w:rPr>
      </w:pPr>
      <w:r w:rsidRPr="000A494B">
        <w:rPr>
          <w:szCs w:val="22"/>
        </w:rPr>
        <w:t xml:space="preserve">SMEs </w:t>
      </w:r>
      <w:r w:rsidR="000A494B">
        <w:rPr>
          <w:szCs w:val="22"/>
        </w:rPr>
        <w:t xml:space="preserve">with a turnover of less than </w:t>
      </w:r>
      <w:r w:rsidRPr="000A494B">
        <w:rPr>
          <w:szCs w:val="22"/>
        </w:rPr>
        <w:t xml:space="preserve">$20 million </w:t>
      </w:r>
      <w:r w:rsidR="000A494B" w:rsidRPr="000A494B">
        <w:rPr>
          <w:szCs w:val="22"/>
        </w:rPr>
        <w:t>comprised</w:t>
      </w:r>
      <w:r w:rsidRPr="000A494B">
        <w:rPr>
          <w:szCs w:val="22"/>
        </w:rPr>
        <w:t xml:space="preserve"> the majority of registrations (88%) and accounted for slightly less than half (49%) of R&amp;D expenditure. Large companies </w:t>
      </w:r>
      <w:r w:rsidR="000A494B">
        <w:rPr>
          <w:szCs w:val="22"/>
        </w:rPr>
        <w:t xml:space="preserve">with turnover greater than $20 million </w:t>
      </w:r>
      <w:r w:rsidRPr="000A494B">
        <w:rPr>
          <w:szCs w:val="22"/>
        </w:rPr>
        <w:t>comprise</w:t>
      </w:r>
      <w:r w:rsidR="000A494B">
        <w:rPr>
          <w:szCs w:val="22"/>
        </w:rPr>
        <w:t>d</w:t>
      </w:r>
      <w:r w:rsidRPr="000A494B">
        <w:rPr>
          <w:szCs w:val="22"/>
        </w:rPr>
        <w:t xml:space="preserve"> </w:t>
      </w:r>
      <w:r w:rsidR="005B255C" w:rsidRPr="000A494B">
        <w:rPr>
          <w:szCs w:val="22"/>
        </w:rPr>
        <w:t xml:space="preserve">12% of registrations and 51% </w:t>
      </w:r>
      <w:r w:rsidRPr="000A494B">
        <w:rPr>
          <w:szCs w:val="22"/>
        </w:rPr>
        <w:t>of R&amp;D expenditure.</w:t>
      </w:r>
    </w:p>
    <w:p w14:paraId="1EFB385A" w14:textId="20E4CFD4" w:rsidR="00DA2245" w:rsidRPr="00DA2245" w:rsidRDefault="00DA2245" w:rsidP="00DA2245">
      <w:pPr>
        <w:pStyle w:val="Bullet1"/>
        <w:rPr>
          <w:szCs w:val="22"/>
        </w:rPr>
      </w:pPr>
      <w:r w:rsidRPr="00DA2245">
        <w:rPr>
          <w:szCs w:val="22"/>
        </w:rPr>
        <w:t xml:space="preserve">ICT registrations constituted 45% of all R&amp;D Registrations and 37% of R&amp;D Expenditure in </w:t>
      </w:r>
      <w:r w:rsidR="00BD3DD6">
        <w:rPr>
          <w:szCs w:val="22"/>
        </w:rPr>
        <w:t>2019-</w:t>
      </w:r>
      <w:r w:rsidR="005B255C">
        <w:rPr>
          <w:szCs w:val="22"/>
        </w:rPr>
        <w:t>20.</w:t>
      </w:r>
      <w:r w:rsidR="00446150">
        <w:rPr>
          <w:szCs w:val="22"/>
        </w:rPr>
        <w:t xml:space="preserve"> </w:t>
      </w:r>
    </w:p>
    <w:p w14:paraId="26AD87F3" w14:textId="587D4E14" w:rsidR="001032F5" w:rsidRPr="00BC302C" w:rsidRDefault="00054504" w:rsidP="001032F5">
      <w:pPr>
        <w:pStyle w:val="Heading3"/>
      </w:pPr>
      <w:bookmarkStart w:id="4" w:name="_2.4_Compliance_trends"/>
      <w:bookmarkEnd w:id="4"/>
      <w:r>
        <w:t xml:space="preserve">2.4 Compliance </w:t>
      </w:r>
      <w:r w:rsidR="00AB3714">
        <w:t>T</w:t>
      </w:r>
      <w:r>
        <w:t>rends</w:t>
      </w:r>
      <w:r w:rsidR="00446150">
        <w:t xml:space="preserve"> (</w:t>
      </w:r>
      <w:r w:rsidR="001032F5" w:rsidRPr="00BC302C">
        <w:t>Tom Gilbert</w:t>
      </w:r>
      <w:r w:rsidR="002947CB">
        <w:t>)</w:t>
      </w:r>
    </w:p>
    <w:p w14:paraId="5B934B11" w14:textId="2D2F48A5" w:rsidR="00AB3714" w:rsidRDefault="00AB3714" w:rsidP="00AB3714">
      <w:pPr>
        <w:pStyle w:val="Bullet1"/>
      </w:pPr>
      <w:r w:rsidRPr="00F97DDB">
        <w:t xml:space="preserve">The introduction of the </w:t>
      </w:r>
      <w:r w:rsidR="00596E08">
        <w:t xml:space="preserve">new </w:t>
      </w:r>
      <w:r w:rsidRPr="00F97DDB">
        <w:t xml:space="preserve">portal </w:t>
      </w:r>
      <w:r>
        <w:t xml:space="preserve">application </w:t>
      </w:r>
      <w:r w:rsidRPr="00F97DDB">
        <w:t>form</w:t>
      </w:r>
      <w:r>
        <w:t xml:space="preserve"> has enabled </w:t>
      </w:r>
      <w:r w:rsidRPr="00F97DDB">
        <w:t xml:space="preserve">AusIndustry to better </w:t>
      </w:r>
      <w:r>
        <w:t xml:space="preserve">identify companies who need support to apply the program’s legislative requirements. The requirement to distil </w:t>
      </w:r>
      <w:r w:rsidRPr="00F97DDB">
        <w:t>in</w:t>
      </w:r>
      <w:r>
        <w:t>formation in the portal</w:t>
      </w:r>
      <w:r w:rsidRPr="00F97DDB">
        <w:t xml:space="preserve"> fields</w:t>
      </w:r>
      <w:r>
        <w:t xml:space="preserve"> assists AusIndustry to provide tailored education and advice and better target risk reviews and examination activities.</w:t>
      </w:r>
    </w:p>
    <w:p w14:paraId="3CB3C370" w14:textId="77777777" w:rsidR="00AB3714" w:rsidRDefault="00AB3714" w:rsidP="00AB3714">
      <w:pPr>
        <w:pStyle w:val="Bullet1"/>
      </w:pPr>
      <w:r>
        <w:t>The requirement for an ‘unknown outcome’ under the definition for eligibility is not receiving equal focus by applicants. Applicants need to be clear on why the outcome of their activities cannot be predicted on the basis of current expertise and professional knowledge and ensure they keep records to demonstrate the steps they undertook to establish this.</w:t>
      </w:r>
    </w:p>
    <w:p w14:paraId="575D679E" w14:textId="51A5BA94" w:rsidR="00AB3714" w:rsidRDefault="00AB3714" w:rsidP="00AB3714">
      <w:pPr>
        <w:pStyle w:val="Bullet1"/>
      </w:pPr>
      <w:r w:rsidRPr="00F16D69">
        <w:t xml:space="preserve">AusIndustry continues to observe that the majority of registrants are either </w:t>
      </w:r>
      <w:r>
        <w:t>“</w:t>
      </w:r>
      <w:r w:rsidRPr="00F16D69">
        <w:t>getting it right</w:t>
      </w:r>
      <w:r>
        <w:t>”</w:t>
      </w:r>
      <w:r w:rsidRPr="00F16D69">
        <w:t xml:space="preserve">, or </w:t>
      </w:r>
      <w:r>
        <w:t>“</w:t>
      </w:r>
      <w:r w:rsidRPr="00F16D69">
        <w:t>trying to get it right</w:t>
      </w:r>
      <w:r>
        <w:t>”,</w:t>
      </w:r>
      <w:r w:rsidRPr="00F16D69">
        <w:t xml:space="preserve"> and</w:t>
      </w:r>
      <w:r w:rsidR="00596E08">
        <w:t xml:space="preserve"> will</w:t>
      </w:r>
      <w:r w:rsidRPr="00F16D69">
        <w:t xml:space="preserve"> continue to implement </w:t>
      </w:r>
      <w:r>
        <w:t>guidance-</w:t>
      </w:r>
      <w:r w:rsidRPr="00F16D69">
        <w:t xml:space="preserve">based engagement model </w:t>
      </w:r>
      <w:r w:rsidR="008950DF">
        <w:t>during</w:t>
      </w:r>
      <w:r w:rsidRPr="00F16D69">
        <w:t xml:space="preserve"> </w:t>
      </w:r>
      <w:r>
        <w:t>early</w:t>
      </w:r>
      <w:r w:rsidRPr="00F16D69">
        <w:t xml:space="preserve"> compliance interactions.</w:t>
      </w:r>
    </w:p>
    <w:p w14:paraId="2D67A897" w14:textId="2DECD6E0" w:rsidR="001B105D" w:rsidRPr="00566C50" w:rsidRDefault="00933E79" w:rsidP="001B105D">
      <w:pPr>
        <w:pStyle w:val="Heading3"/>
      </w:pPr>
      <w:bookmarkStart w:id="5" w:name="_2.5_Customer_Survey"/>
      <w:bookmarkEnd w:id="5"/>
      <w:r>
        <w:t xml:space="preserve">2.5 Customer </w:t>
      </w:r>
      <w:r w:rsidR="008950DF">
        <w:t>s</w:t>
      </w:r>
      <w:r w:rsidR="00566C50">
        <w:t>urvey (</w:t>
      </w:r>
      <w:r w:rsidR="00083D39" w:rsidRPr="00566C50">
        <w:t>Malcolm Jones</w:t>
      </w:r>
      <w:r w:rsidR="002947CB" w:rsidRPr="00566C50">
        <w:t>)</w:t>
      </w:r>
    </w:p>
    <w:p w14:paraId="3DCB8F1A" w14:textId="66BFF0D0" w:rsidR="00AB3714" w:rsidRDefault="00AB3714" w:rsidP="00AB3714">
      <w:pPr>
        <w:pStyle w:val="Bullet1"/>
      </w:pPr>
      <w:r>
        <w:t xml:space="preserve">AusIndustry commissioned a customer survey to seek user feedback on </w:t>
      </w:r>
      <w:r w:rsidRPr="004978F6">
        <w:t>th</w:t>
      </w:r>
      <w:r>
        <w:t xml:space="preserve">e program’s </w:t>
      </w:r>
      <w:r w:rsidRPr="004978F6">
        <w:t>accessibility</w:t>
      </w:r>
      <w:r>
        <w:t>, client understanding of requi</w:t>
      </w:r>
      <w:r w:rsidRPr="004978F6">
        <w:t>rements</w:t>
      </w:r>
      <w:r>
        <w:t xml:space="preserve"> and perceived program benefits</w:t>
      </w:r>
      <w:r w:rsidRPr="004978F6">
        <w:t>.</w:t>
      </w:r>
      <w:r w:rsidRPr="00B5476F">
        <w:t xml:space="preserve"> </w:t>
      </w:r>
      <w:r>
        <w:t xml:space="preserve">The survey </w:t>
      </w:r>
      <w:r w:rsidRPr="00B5476F">
        <w:t>was sent to all 2020-21 program registrants</w:t>
      </w:r>
      <w:r>
        <w:t xml:space="preserve"> </w:t>
      </w:r>
      <w:r w:rsidR="008950DF">
        <w:t xml:space="preserve">and received approximately </w:t>
      </w:r>
      <w:r>
        <w:t xml:space="preserve">1,000 responses </w:t>
      </w:r>
      <w:r w:rsidR="008950DF">
        <w:t>(</w:t>
      </w:r>
      <w:r>
        <w:t xml:space="preserve">with a high proportion </w:t>
      </w:r>
      <w:r w:rsidR="008950DF">
        <w:t xml:space="preserve">of responses </w:t>
      </w:r>
      <w:r>
        <w:t>from SMEs.</w:t>
      </w:r>
      <w:r w:rsidR="008950DF">
        <w:t>)</w:t>
      </w:r>
    </w:p>
    <w:p w14:paraId="453D9DE7" w14:textId="77777777" w:rsidR="00AB3714" w:rsidRDefault="00AB3714" w:rsidP="00AB3714">
      <w:pPr>
        <w:pStyle w:val="Bullet1"/>
      </w:pPr>
      <w:r w:rsidRPr="004978F6">
        <w:t xml:space="preserve">The </w:t>
      </w:r>
      <w:r>
        <w:t xml:space="preserve">customer </w:t>
      </w:r>
      <w:r w:rsidRPr="004978F6">
        <w:t xml:space="preserve">survey </w:t>
      </w:r>
      <w:r>
        <w:t xml:space="preserve">forms part of a larger program of work to assess the impact of the program. </w:t>
      </w:r>
    </w:p>
    <w:p w14:paraId="67DF8F5E" w14:textId="6C864AE7" w:rsidR="00AB3714" w:rsidRPr="004E17EA" w:rsidRDefault="00AB3714" w:rsidP="00AB3714">
      <w:pPr>
        <w:pStyle w:val="Bullet1"/>
      </w:pPr>
      <w:r>
        <w:t>Overall</w:t>
      </w:r>
      <w:r w:rsidR="008950DF">
        <w:t>,</w:t>
      </w:r>
      <w:r>
        <w:t xml:space="preserve"> the survey indicates there is </w:t>
      </w:r>
      <w:r w:rsidRPr="004E17EA">
        <w:t xml:space="preserve">widespread appreciation of the importance of the R&amp;D Tax Incentive in supporting Australian organisations and industries. The benefits relate to both individual organisations and the positive impact on innovation within Australia more broadly. An identified key benefit </w:t>
      </w:r>
      <w:r>
        <w:t xml:space="preserve">is </w:t>
      </w:r>
      <w:r w:rsidRPr="004E17EA">
        <w:t xml:space="preserve">that the </w:t>
      </w:r>
      <w:r>
        <w:t xml:space="preserve">incentive can </w:t>
      </w:r>
      <w:r w:rsidRPr="004E17EA">
        <w:t xml:space="preserve">be accessed by anyone in any field </w:t>
      </w:r>
      <w:r>
        <w:t>of R&amp;D which</w:t>
      </w:r>
      <w:r w:rsidRPr="004E17EA">
        <w:t xml:space="preserve"> has promoted </w:t>
      </w:r>
      <w:r>
        <w:t xml:space="preserve">the opportunity for </w:t>
      </w:r>
      <w:r w:rsidRPr="004E17EA">
        <w:t xml:space="preserve">R&amp;D to industries where </w:t>
      </w:r>
      <w:r>
        <w:t>this</w:t>
      </w:r>
      <w:r w:rsidRPr="004E17EA">
        <w:t xml:space="preserve"> </w:t>
      </w:r>
      <w:r>
        <w:t xml:space="preserve">is traditionally less of </w:t>
      </w:r>
      <w:r w:rsidRPr="004E17EA">
        <w:t>a</w:t>
      </w:r>
      <w:r>
        <w:t xml:space="preserve"> focus</w:t>
      </w:r>
      <w:r w:rsidRPr="004E17EA">
        <w:t>.</w:t>
      </w:r>
    </w:p>
    <w:p w14:paraId="1834FE47" w14:textId="08C4E1FD" w:rsidR="003E38FA" w:rsidRPr="0047297D" w:rsidRDefault="00ED1E14" w:rsidP="003E38FA">
      <w:pPr>
        <w:pStyle w:val="Heading3"/>
      </w:pPr>
      <w:r>
        <w:t>2.</w:t>
      </w:r>
      <w:r w:rsidR="003E38FA" w:rsidRPr="0047297D">
        <w:t xml:space="preserve">6 </w:t>
      </w:r>
      <w:r w:rsidR="003E38FA">
        <w:t>R</w:t>
      </w:r>
      <w:r w:rsidR="00346170">
        <w:t xml:space="preserve">esearch </w:t>
      </w:r>
      <w:r w:rsidR="003E38FA">
        <w:t>S</w:t>
      </w:r>
      <w:r w:rsidR="00346170">
        <w:t>ervice Provider (RSP)</w:t>
      </w:r>
      <w:r w:rsidR="003E38FA">
        <w:t xml:space="preserve"> Working Group</w:t>
      </w:r>
      <w:r w:rsidR="00346170">
        <w:t xml:space="preserve"> (</w:t>
      </w:r>
      <w:r w:rsidR="003E38FA" w:rsidRPr="0047297D">
        <w:t>Leanne Alvos</w:t>
      </w:r>
      <w:r w:rsidR="002947CB">
        <w:t>)</w:t>
      </w:r>
    </w:p>
    <w:p w14:paraId="45E4F04F" w14:textId="77777777" w:rsidR="008C6FE7" w:rsidRDefault="008C6FE7" w:rsidP="008C6FE7">
      <w:pPr>
        <w:pStyle w:val="Bullet1"/>
      </w:pPr>
      <w:r>
        <w:t xml:space="preserve">AusIndustry is eager to increase company engagement with RSPs to enable or enhance their R&amp;D. </w:t>
      </w:r>
    </w:p>
    <w:p w14:paraId="116F33B9" w14:textId="58A0EA67" w:rsidR="008C6FE7" w:rsidRDefault="008C6FE7" w:rsidP="006106FA">
      <w:pPr>
        <w:pStyle w:val="Bullet1"/>
      </w:pPr>
      <w:r>
        <w:lastRenderedPageBreak/>
        <w:t>In June 2022</w:t>
      </w:r>
      <w:r w:rsidR="000A494B">
        <w:t>,</w:t>
      </w:r>
      <w:r>
        <w:t xml:space="preserve"> members of the R&amp;DTI Roundtable were invited to take part in a RSP Working Group to </w:t>
      </w:r>
      <w:r w:rsidR="000A494B">
        <w:t xml:space="preserve">share </w:t>
      </w:r>
      <w:r>
        <w:t xml:space="preserve">their </w:t>
      </w:r>
      <w:r w:rsidR="000A494B">
        <w:t xml:space="preserve">insights and </w:t>
      </w:r>
      <w:r>
        <w:t xml:space="preserve">experiences </w:t>
      </w:r>
      <w:r w:rsidR="000A494B">
        <w:t>regarding</w:t>
      </w:r>
      <w:r>
        <w:t xml:space="preserve"> RSPs. Participants represented universities, industry bodies, companies and tax agents</w:t>
      </w:r>
      <w:r w:rsidR="000A494B">
        <w:t xml:space="preserve"> and </w:t>
      </w:r>
      <w:r>
        <w:t>suggest</w:t>
      </w:r>
      <w:r w:rsidR="000A494B">
        <w:t>ed</w:t>
      </w:r>
      <w:r>
        <w:t xml:space="preserve"> </w:t>
      </w:r>
      <w:r w:rsidR="000A494B">
        <w:t xml:space="preserve">opportunities </w:t>
      </w:r>
      <w:r>
        <w:t>to build awareness of RSPs and encourage research collaborations in general.</w:t>
      </w:r>
    </w:p>
    <w:p w14:paraId="7220080F" w14:textId="3BDB7941" w:rsidR="00836777" w:rsidRDefault="000A494B" w:rsidP="00394BC9">
      <w:pPr>
        <w:pStyle w:val="Bullet1"/>
      </w:pPr>
      <w:r>
        <w:t xml:space="preserve">SRG participants offered the following </w:t>
      </w:r>
      <w:r w:rsidR="006106FA">
        <w:t>insights on company engagement with RSPs</w:t>
      </w:r>
      <w:r w:rsidR="00836777">
        <w:t>:</w:t>
      </w:r>
    </w:p>
    <w:p w14:paraId="51E22F12" w14:textId="6DC793F1" w:rsidR="00394BC9" w:rsidRPr="00394BC9" w:rsidRDefault="00394BC9" w:rsidP="00BD3DD6">
      <w:pPr>
        <w:pStyle w:val="Bullet2"/>
      </w:pPr>
      <w:r w:rsidRPr="00394BC9">
        <w:t>University</w:t>
      </w:r>
      <w:r w:rsidR="008C6FE7">
        <w:t xml:space="preserve"> </w:t>
      </w:r>
      <w:r w:rsidRPr="00394BC9">
        <w:t xml:space="preserve">timeframes </w:t>
      </w:r>
      <w:r w:rsidR="000A494B">
        <w:t xml:space="preserve">may not align </w:t>
      </w:r>
      <w:r w:rsidRPr="00394BC9">
        <w:t xml:space="preserve">with commercial requirements </w:t>
      </w:r>
    </w:p>
    <w:p w14:paraId="6D3496AF" w14:textId="5E3EADE2" w:rsidR="00394BC9" w:rsidRPr="00394BC9" w:rsidRDefault="00394BC9" w:rsidP="00BD3DD6">
      <w:pPr>
        <w:pStyle w:val="Bullet2"/>
      </w:pPr>
      <w:r w:rsidRPr="00394BC9">
        <w:t xml:space="preserve">There are </w:t>
      </w:r>
      <w:r w:rsidR="000A494B">
        <w:t>few</w:t>
      </w:r>
      <w:r w:rsidRPr="00394BC9">
        <w:t xml:space="preserve"> RSPs in the ICT space</w:t>
      </w:r>
    </w:p>
    <w:p w14:paraId="1585ACEA" w14:textId="77777777" w:rsidR="00394BC9" w:rsidRPr="00394BC9" w:rsidRDefault="00394BC9" w:rsidP="00BD3DD6">
      <w:pPr>
        <w:pStyle w:val="Bullet2"/>
      </w:pPr>
      <w:r w:rsidRPr="00394BC9">
        <w:t xml:space="preserve">It can be unclear which services are provided by particular RSPs </w:t>
      </w:r>
    </w:p>
    <w:p w14:paraId="444751DE" w14:textId="43A6AF30" w:rsidR="00394BC9" w:rsidRPr="00394BC9" w:rsidRDefault="00394BC9" w:rsidP="00BD3DD6">
      <w:pPr>
        <w:pStyle w:val="Bullet2"/>
      </w:pPr>
      <w:r w:rsidRPr="00394BC9">
        <w:t xml:space="preserve">SMEs may </w:t>
      </w:r>
      <w:r w:rsidR="00893304">
        <w:t>avoid collaboration as they perceive</w:t>
      </w:r>
      <w:r w:rsidRPr="00394BC9">
        <w:t xml:space="preserve"> outsourcing activities </w:t>
      </w:r>
      <w:r w:rsidR="00893304">
        <w:t xml:space="preserve">to an RSP will </w:t>
      </w:r>
      <w:r w:rsidRPr="00394BC9">
        <w:t xml:space="preserve">be </w:t>
      </w:r>
      <w:r w:rsidR="00893304">
        <w:t xml:space="preserve">too </w:t>
      </w:r>
      <w:r w:rsidRPr="00394BC9">
        <w:t>expensive</w:t>
      </w:r>
    </w:p>
    <w:p w14:paraId="7F1C88B6" w14:textId="6C9B9189" w:rsidR="00394BC9" w:rsidRPr="00394BC9" w:rsidRDefault="00394BC9" w:rsidP="00BD3DD6">
      <w:pPr>
        <w:pStyle w:val="Bullet2"/>
      </w:pPr>
      <w:r w:rsidRPr="00394BC9">
        <w:t xml:space="preserve">R&amp;D entities and RSPs </w:t>
      </w:r>
      <w:r w:rsidR="00893304">
        <w:t>can have a different approach</w:t>
      </w:r>
      <w:r w:rsidRPr="00394BC9">
        <w:t xml:space="preserve"> to manufacturability </w:t>
      </w:r>
    </w:p>
    <w:p w14:paraId="04B5B0DF" w14:textId="77777777" w:rsidR="009D6681" w:rsidRDefault="0048137A" w:rsidP="00ED1E14">
      <w:pPr>
        <w:pStyle w:val="Heading2"/>
        <w:numPr>
          <w:ilvl w:val="0"/>
          <w:numId w:val="7"/>
        </w:numPr>
        <w:ind w:left="284" w:hanging="284"/>
        <w:rPr>
          <w:rFonts w:eastAsia="Times New Roman" w:cstheme="minorHAnsi"/>
          <w:lang w:eastAsia="en-AU"/>
        </w:rPr>
      </w:pPr>
      <w:bookmarkStart w:id="6" w:name="_ATO_Update_–"/>
      <w:bookmarkEnd w:id="6"/>
      <w:r>
        <w:t>ATO Update</w:t>
      </w:r>
      <w:r w:rsidR="00566C50">
        <w:t xml:space="preserve"> (</w:t>
      </w:r>
      <w:r w:rsidR="001B105D">
        <w:t>Brett Challans</w:t>
      </w:r>
      <w:r w:rsidR="00566C50">
        <w:t>)</w:t>
      </w:r>
      <w:r w:rsidR="00566C50">
        <w:rPr>
          <w:rFonts w:eastAsia="Times New Roman" w:cstheme="minorHAnsi"/>
          <w:lang w:eastAsia="en-AU"/>
        </w:rPr>
        <w:t xml:space="preserve"> </w:t>
      </w:r>
    </w:p>
    <w:p w14:paraId="755B397D" w14:textId="77777777" w:rsidR="00C91965" w:rsidRDefault="00C91965" w:rsidP="00C91965">
      <w:pPr>
        <w:pStyle w:val="Bullet1"/>
      </w:pPr>
      <w:bookmarkStart w:id="7" w:name="_Research_Service_Providers"/>
      <w:bookmarkStart w:id="8" w:name="_Terms_of_Reference"/>
      <w:bookmarkStart w:id="9" w:name="_Litigation_Insights_–"/>
      <w:bookmarkEnd w:id="7"/>
      <w:bookmarkEnd w:id="8"/>
      <w:bookmarkEnd w:id="9"/>
      <w:r>
        <w:t>There has been a change at the ATO of the Assistant Commissioner with responsibility of the R&amp;DTI program. Kelly Canavan has replaced Jade Hawkins.</w:t>
      </w:r>
    </w:p>
    <w:p w14:paraId="47B979AE" w14:textId="77777777" w:rsidR="00C91965" w:rsidRDefault="00C91965" w:rsidP="00C91965">
      <w:pPr>
        <w:pStyle w:val="Bullet1"/>
      </w:pPr>
      <w:r>
        <w:t>New legislative requirements have commenced for companies with income years commencing on or after July 2021. Initial teething issues identified have been resolved and the R&amp;D schedule instructions have been updated.</w:t>
      </w:r>
    </w:p>
    <w:p w14:paraId="317DD90F" w14:textId="77777777" w:rsidR="00C91965" w:rsidRDefault="00C91965" w:rsidP="00C91965">
      <w:pPr>
        <w:pStyle w:val="Bullet1"/>
      </w:pPr>
      <w:r>
        <w:t>ATO R&amp;D web content is being updated with improved search functions, layout and enhanced guidance on:</w:t>
      </w:r>
    </w:p>
    <w:p w14:paraId="43FCEDEA" w14:textId="77777777" w:rsidR="00C91965" w:rsidRDefault="00C91965" w:rsidP="00C91965">
      <w:pPr>
        <w:pStyle w:val="Bullet2"/>
      </w:pPr>
      <w:r>
        <w:t>record keeping</w:t>
      </w:r>
    </w:p>
    <w:p w14:paraId="593FFF33" w14:textId="77777777" w:rsidR="00C91965" w:rsidRDefault="00C91965" w:rsidP="00C91965">
      <w:pPr>
        <w:pStyle w:val="Bullet2"/>
      </w:pPr>
      <w:r>
        <w:t>the nexus between registered R&amp;D activities and R&amp;D expenditure</w:t>
      </w:r>
    </w:p>
    <w:p w14:paraId="072E3587" w14:textId="77777777" w:rsidR="00C91965" w:rsidRDefault="00C91965" w:rsidP="00C91965">
      <w:pPr>
        <w:pStyle w:val="Bullet2"/>
      </w:pPr>
      <w:r>
        <w:t>feedstock and clawback</w:t>
      </w:r>
    </w:p>
    <w:p w14:paraId="12C82209" w14:textId="77777777" w:rsidR="00C91965" w:rsidRPr="00406AD3" w:rsidRDefault="00C91965" w:rsidP="00C91965">
      <w:pPr>
        <w:pStyle w:val="Bullet1"/>
      </w:pPr>
      <w:r w:rsidRPr="00E5684C">
        <w:t xml:space="preserve">The ATO </w:t>
      </w:r>
      <w:r>
        <w:t xml:space="preserve">has </w:t>
      </w:r>
      <w:r w:rsidRPr="00E5684C">
        <w:t xml:space="preserve">noted incorrect claims for </w:t>
      </w:r>
      <w:r w:rsidRPr="00A330A7">
        <w:t>‘payments to associates’ with particular refer</w:t>
      </w:r>
      <w:r w:rsidRPr="00406AD3">
        <w:t>ence to loan</w:t>
      </w:r>
      <w:r>
        <w:t>s being created and incorrectly being claimed as being paid instead of payment being made whether through physical payment or constructive payment through pre-existing commitments.</w:t>
      </w:r>
      <w:r w:rsidRPr="00406AD3">
        <w:t xml:space="preserve"> </w:t>
      </w:r>
    </w:p>
    <w:p w14:paraId="22CE6A45" w14:textId="77777777" w:rsidR="00C91965" w:rsidRPr="00406AD3" w:rsidRDefault="00C91965" w:rsidP="00C91965">
      <w:pPr>
        <w:pStyle w:val="Bullet1"/>
      </w:pPr>
      <w:r w:rsidRPr="00406AD3">
        <w:t xml:space="preserve">Overhead expenditure continues to be an issue of concern where companies are either not correctly apportioning their expenditure or </w:t>
      </w:r>
      <w:r>
        <w:t xml:space="preserve">are </w:t>
      </w:r>
      <w:r w:rsidRPr="00406AD3">
        <w:t>simply pick</w:t>
      </w:r>
      <w:r>
        <w:t>ing</w:t>
      </w:r>
      <w:r w:rsidRPr="00406AD3">
        <w:t xml:space="preserve"> up their expenses from their profit and loss</w:t>
      </w:r>
      <w:r>
        <w:t>,</w:t>
      </w:r>
      <w:r w:rsidRPr="00406AD3">
        <w:t xml:space="preserve"> claiming the whole amount as an overhead. Companies </w:t>
      </w:r>
      <w:r>
        <w:t xml:space="preserve">are encouraged to </w:t>
      </w:r>
      <w:r w:rsidRPr="00406AD3">
        <w:t xml:space="preserve">take care with </w:t>
      </w:r>
      <w:r>
        <w:t>overhead claims and using the most appropriate apportionment method</w:t>
      </w:r>
      <w:r w:rsidRPr="00406AD3">
        <w:t>.</w:t>
      </w:r>
    </w:p>
    <w:p w14:paraId="63CF98FA" w14:textId="77777777" w:rsidR="00C91965" w:rsidRDefault="00C91965" w:rsidP="00C91965">
      <w:pPr>
        <w:pStyle w:val="Bullet1"/>
      </w:pPr>
      <w:r w:rsidRPr="00406AD3">
        <w:t xml:space="preserve">The ATO </w:t>
      </w:r>
      <w:r>
        <w:t>engages</w:t>
      </w:r>
      <w:r w:rsidRPr="00406AD3">
        <w:t xml:space="preserve"> with companies </w:t>
      </w:r>
      <w:r>
        <w:t xml:space="preserve">regarding </w:t>
      </w:r>
      <w:r w:rsidRPr="00406AD3">
        <w:t>payments to associates and apportionment of overhead expenditure and encourage</w:t>
      </w:r>
      <w:r>
        <w:t>s</w:t>
      </w:r>
      <w:r w:rsidRPr="00406AD3">
        <w:t xml:space="preserve"> </w:t>
      </w:r>
      <w:r>
        <w:t xml:space="preserve">them </w:t>
      </w:r>
      <w:r w:rsidRPr="00406AD3">
        <w:t xml:space="preserve">and </w:t>
      </w:r>
      <w:r>
        <w:t xml:space="preserve">their </w:t>
      </w:r>
      <w:r w:rsidRPr="00406AD3">
        <w:t xml:space="preserve">advisers to seek advice </w:t>
      </w:r>
      <w:r>
        <w:t xml:space="preserve">if there is any doubt </w:t>
      </w:r>
      <w:r w:rsidRPr="00406AD3">
        <w:t xml:space="preserve">before lodgement </w:t>
      </w:r>
      <w:r>
        <w:t xml:space="preserve">in order </w:t>
      </w:r>
      <w:r w:rsidRPr="00406AD3">
        <w:t xml:space="preserve">to ensure their claims are correct. </w:t>
      </w:r>
    </w:p>
    <w:p w14:paraId="2E2CACB4" w14:textId="77777777" w:rsidR="00C91965" w:rsidRPr="00346170" w:rsidRDefault="00C91965" w:rsidP="00C91965">
      <w:pPr>
        <w:pStyle w:val="Bullet1"/>
      </w:pPr>
      <w:r>
        <w:t>The</w:t>
      </w:r>
      <w:r w:rsidRPr="00406AD3">
        <w:t xml:space="preserve"> ATO </w:t>
      </w:r>
      <w:r>
        <w:t>can be contacted at</w:t>
      </w:r>
      <w:r w:rsidRPr="00406AD3">
        <w:t xml:space="preserve"> </w:t>
      </w:r>
      <w:hyperlink r:id="rId15" w:history="1">
        <w:r w:rsidRPr="00346170">
          <w:t>innovationtax@ato.gov.au</w:t>
        </w:r>
      </w:hyperlink>
      <w:r w:rsidRPr="00346170">
        <w:t xml:space="preserve"> to assist </w:t>
      </w:r>
      <w:r w:rsidRPr="00406AD3">
        <w:t>companies, consulting firms and industry groups with queries.</w:t>
      </w:r>
    </w:p>
    <w:p w14:paraId="0F18CFE1" w14:textId="77777777" w:rsidR="009D6681" w:rsidRDefault="00346170" w:rsidP="009D6681">
      <w:pPr>
        <w:pStyle w:val="Heading2"/>
        <w:numPr>
          <w:ilvl w:val="0"/>
          <w:numId w:val="7"/>
        </w:numPr>
        <w:ind w:left="284" w:hanging="284"/>
        <w:rPr>
          <w:rFonts w:eastAsia="Times New Roman" w:cstheme="minorHAnsi"/>
          <w:lang w:eastAsia="en-AU"/>
        </w:rPr>
      </w:pPr>
      <w:r>
        <w:t>Litigation Insights (Anna George)</w:t>
      </w:r>
    </w:p>
    <w:p w14:paraId="45EB9F6A" w14:textId="0205C215" w:rsidR="00856628" w:rsidRDefault="005D3233" w:rsidP="005D3233">
      <w:pPr>
        <w:pStyle w:val="Bullet1"/>
      </w:pPr>
      <w:r>
        <w:t>Industry Innovation and Science Australia</w:t>
      </w:r>
      <w:r w:rsidR="00D0334D">
        <w:t>’s</w:t>
      </w:r>
      <w:r>
        <w:t xml:space="preserve"> (</w:t>
      </w:r>
      <w:r w:rsidRPr="005D3233">
        <w:rPr>
          <w:b/>
        </w:rPr>
        <w:t>IISA</w:t>
      </w:r>
      <w:r>
        <w:t>)</w:t>
      </w:r>
      <w:r w:rsidR="00836777">
        <w:t xml:space="preserve"> litigation strategy,</w:t>
      </w:r>
      <w:r w:rsidR="007F2CA1">
        <w:t xml:space="preserve"> </w:t>
      </w:r>
      <w:r w:rsidR="00681FB3">
        <w:t xml:space="preserve">is to assist the Administrative Appeals Tribunal (the Tribunal) to reach the correct and preferable decision on the facts before it </w:t>
      </w:r>
      <w:r w:rsidR="006106FA">
        <w:t xml:space="preserve">as </w:t>
      </w:r>
      <w:r w:rsidR="007F2CA1">
        <w:t>consistent with the principles of admi</w:t>
      </w:r>
      <w:r w:rsidR="00836777">
        <w:t>nistrative law</w:t>
      </w:r>
      <w:r w:rsidR="00681FB3">
        <w:t>.</w:t>
      </w:r>
      <w:r w:rsidR="00836777">
        <w:t xml:space="preserve"> </w:t>
      </w:r>
    </w:p>
    <w:p w14:paraId="7B4F7394" w14:textId="735BB814" w:rsidR="005A52AE" w:rsidRDefault="005A52AE" w:rsidP="00D662C9">
      <w:pPr>
        <w:pStyle w:val="Bullet1"/>
      </w:pPr>
      <w:r w:rsidRPr="005A52AE">
        <w:t>The Tribunal considers new evidence supplied by both parties and is not limited to the materials used by IISA for the internal review decision.</w:t>
      </w:r>
      <w:r>
        <w:t xml:space="preserve"> </w:t>
      </w:r>
      <w:r w:rsidR="00976D8B">
        <w:t>T</w:t>
      </w:r>
      <w:r>
        <w:t xml:space="preserve">he Tribunal is not bound by the rules of evidence. </w:t>
      </w:r>
    </w:p>
    <w:p w14:paraId="3211FF4F" w14:textId="32A6813F" w:rsidR="007F2CA1" w:rsidRDefault="00856628" w:rsidP="005D3233">
      <w:pPr>
        <w:pStyle w:val="Bullet1"/>
      </w:pPr>
      <w:r>
        <w:t>T</w:t>
      </w:r>
      <w:r w:rsidR="007F2CA1">
        <w:t>here is no obligation</w:t>
      </w:r>
      <w:r w:rsidR="005A52AE">
        <w:t xml:space="preserve"> for IISA</w:t>
      </w:r>
      <w:r w:rsidR="007F2CA1">
        <w:t xml:space="preserve"> to defend the initial or review decision</w:t>
      </w:r>
      <w:r w:rsidR="005A52AE">
        <w:t>.</w:t>
      </w:r>
      <w:r w:rsidR="007F2CA1">
        <w:t xml:space="preserve"> </w:t>
      </w:r>
      <w:r w:rsidR="006106FA">
        <w:t xml:space="preserve">Should the </w:t>
      </w:r>
      <w:r w:rsidR="005D3233">
        <w:t>IISA</w:t>
      </w:r>
      <w:r w:rsidR="007F2CA1">
        <w:t xml:space="preserve"> come to a view that there are grounds to reverse </w:t>
      </w:r>
      <w:r w:rsidR="006106FA">
        <w:t>a</w:t>
      </w:r>
      <w:r w:rsidR="007F2CA1">
        <w:t xml:space="preserve"> decision under review in whole or in part, it will act quickly to reach agreement with the applicant to resolve the matter. </w:t>
      </w:r>
    </w:p>
    <w:p w14:paraId="15BA6A52" w14:textId="4C16D706" w:rsidR="00C864DC" w:rsidRDefault="005D3233" w:rsidP="006106FA">
      <w:pPr>
        <w:pStyle w:val="Bullet1"/>
      </w:pPr>
      <w:r>
        <w:lastRenderedPageBreak/>
        <w:t xml:space="preserve">IISA </w:t>
      </w:r>
      <w:r w:rsidR="00836777">
        <w:t>do</w:t>
      </w:r>
      <w:r w:rsidR="006106FA">
        <w:t>es</w:t>
      </w:r>
      <w:r w:rsidR="00836777">
        <w:t xml:space="preserve"> not have the opportunity </w:t>
      </w:r>
      <w:r w:rsidR="00075B69">
        <w:t xml:space="preserve">to make </w:t>
      </w:r>
      <w:r w:rsidR="00836777">
        <w:t>commercial settlement decisions</w:t>
      </w:r>
      <w:r w:rsidR="00F821DB">
        <w:t>.</w:t>
      </w:r>
      <w:r w:rsidR="00836777">
        <w:t xml:space="preserve"> </w:t>
      </w:r>
      <w:r w:rsidR="00F821DB">
        <w:t>N</w:t>
      </w:r>
      <w:r w:rsidR="007F2CA1">
        <w:t xml:space="preserve">o consideration will be given to resolution in favour of an applicant unless </w:t>
      </w:r>
      <w:r w:rsidR="00F821DB">
        <w:t>on</w:t>
      </w:r>
      <w:r w:rsidR="00836777">
        <w:t xml:space="preserve"> statutory grounds</w:t>
      </w:r>
      <w:r w:rsidR="00F821DB">
        <w:t>.</w:t>
      </w:r>
      <w:r w:rsidR="006106FA">
        <w:t xml:space="preserve"> Consequently, s</w:t>
      </w:r>
      <w:r w:rsidR="00836777">
        <w:t>ettlement agreement</w:t>
      </w:r>
      <w:r w:rsidR="00C864DC">
        <w:t>s</w:t>
      </w:r>
      <w:r w:rsidR="008E4923">
        <w:t>:</w:t>
      </w:r>
    </w:p>
    <w:p w14:paraId="2B8D7E5E" w14:textId="77777777" w:rsidR="007F2CA1" w:rsidRPr="00C864DC" w:rsidRDefault="00836777" w:rsidP="00BD3DD6">
      <w:pPr>
        <w:pStyle w:val="Bullet2"/>
      </w:pPr>
      <w:r w:rsidRPr="00C864DC">
        <w:t>can only be made</w:t>
      </w:r>
      <w:r w:rsidR="007F2CA1" w:rsidRPr="00C864DC">
        <w:t xml:space="preserve"> based on the eligibility of the claimed or registered activities. </w:t>
      </w:r>
    </w:p>
    <w:p w14:paraId="6E35A6ED" w14:textId="77777777" w:rsidR="00075B69" w:rsidRPr="00C864DC" w:rsidRDefault="00075B69" w:rsidP="00BD3DD6">
      <w:pPr>
        <w:pStyle w:val="Bullet2"/>
      </w:pPr>
      <w:r w:rsidRPr="00C864DC">
        <w:t>are primarily</w:t>
      </w:r>
      <w:r w:rsidR="00D0334D" w:rsidRPr="00C864DC">
        <w:t xml:space="preserve"> made as</w:t>
      </w:r>
      <w:r w:rsidRPr="00C864DC">
        <w:t xml:space="preserve"> the result of the provision of new evidence by an applicant. </w:t>
      </w:r>
    </w:p>
    <w:p w14:paraId="28D61592" w14:textId="1BB080C3" w:rsidR="00075B69" w:rsidRDefault="005A52AE" w:rsidP="006106FA">
      <w:pPr>
        <w:pStyle w:val="Bullet1"/>
      </w:pPr>
      <w:r>
        <w:t xml:space="preserve">While </w:t>
      </w:r>
      <w:r w:rsidR="006106FA">
        <w:t xml:space="preserve">the </w:t>
      </w:r>
      <w:r>
        <w:t xml:space="preserve">IISA considers </w:t>
      </w:r>
      <w:r w:rsidR="00C33225">
        <w:t xml:space="preserve">the Tribunal </w:t>
      </w:r>
      <w:r w:rsidR="00836777">
        <w:t xml:space="preserve">decisions when forming </w:t>
      </w:r>
      <w:r>
        <w:t>policy positio</w:t>
      </w:r>
      <w:r w:rsidR="00836777">
        <w:t xml:space="preserve">ns, </w:t>
      </w:r>
      <w:r w:rsidR="00C864DC">
        <w:t>these decisions are not precedential</w:t>
      </w:r>
      <w:r w:rsidR="006106FA">
        <w:t xml:space="preserve"> as they </w:t>
      </w:r>
      <w:r>
        <w:t xml:space="preserve">are always based on the specific facts of </w:t>
      </w:r>
      <w:r w:rsidR="006106FA">
        <w:t>a</w:t>
      </w:r>
      <w:r>
        <w:t xml:space="preserve"> case and are not necessarily applicable to the program more broadly. Tribunal decision</w:t>
      </w:r>
      <w:r w:rsidR="00836777">
        <w:t xml:space="preserve">s </w:t>
      </w:r>
      <w:r w:rsidR="006106FA">
        <w:t>are also reviewed in light of internal policy and operations to build best practice administration</w:t>
      </w:r>
      <w:r w:rsidR="00075B69">
        <w:t>.</w:t>
      </w:r>
    </w:p>
    <w:p w14:paraId="380658A8" w14:textId="77777777" w:rsidR="007F2CA1" w:rsidRDefault="00836777" w:rsidP="005D3233">
      <w:pPr>
        <w:pStyle w:val="Bullet1"/>
      </w:pPr>
      <w:r>
        <w:t>R&amp;D entities are encouraged</w:t>
      </w:r>
      <w:r w:rsidR="00075B69">
        <w:t xml:space="preserve"> to actively engage with </w:t>
      </w:r>
      <w:r w:rsidR="005D3233">
        <w:t>IISA</w:t>
      </w:r>
      <w:r w:rsidR="00075B69">
        <w:t xml:space="preserve"> when involved in compliance activities. Early engagement can often lead to narrowing the issues in dispute and help to ascertain what records may be required to establish eligibility. </w:t>
      </w:r>
    </w:p>
    <w:p w14:paraId="6683FDF8" w14:textId="3E2E1413" w:rsidR="00075B69" w:rsidRDefault="00836777" w:rsidP="00C864DC">
      <w:pPr>
        <w:pStyle w:val="Bullet1"/>
      </w:pPr>
      <w:r>
        <w:t>As e</w:t>
      </w:r>
      <w:r w:rsidR="00075B69">
        <w:t>vidence and record-keeping are key</w:t>
      </w:r>
      <w:r>
        <w:t xml:space="preserve"> to the process, it is essential that a</w:t>
      </w:r>
      <w:r w:rsidR="00075B69">
        <w:t xml:space="preserve">ll registrants keep </w:t>
      </w:r>
      <w:r w:rsidR="00C864DC">
        <w:t xml:space="preserve">contemporaneous </w:t>
      </w:r>
      <w:r w:rsidR="00075B69">
        <w:t xml:space="preserve">records and evidence to support their claims. In the absence of any evidence, </w:t>
      </w:r>
      <w:r w:rsidR="005D3233">
        <w:t>IISA</w:t>
      </w:r>
      <w:r w:rsidR="00075B69">
        <w:t xml:space="preserve"> </w:t>
      </w:r>
      <w:r>
        <w:t>may</w:t>
      </w:r>
      <w:r w:rsidR="00075B69">
        <w:t xml:space="preserve"> find it difficult to determine eligibility.</w:t>
      </w:r>
    </w:p>
    <w:p w14:paraId="70B3043C" w14:textId="77777777" w:rsidR="001F77E0" w:rsidRDefault="0048137A" w:rsidP="00444C6B">
      <w:pPr>
        <w:pStyle w:val="Heading2"/>
        <w:numPr>
          <w:ilvl w:val="0"/>
          <w:numId w:val="7"/>
        </w:numPr>
        <w:tabs>
          <w:tab w:val="left" w:pos="284"/>
        </w:tabs>
        <w:ind w:left="0" w:firstLine="0"/>
      </w:pPr>
      <w:bookmarkStart w:id="10" w:name="_Advance_and_Overseas"/>
      <w:bookmarkEnd w:id="10"/>
      <w:r>
        <w:t>Advance and Overseas Findings</w:t>
      </w:r>
      <w:r w:rsidR="003601CE">
        <w:t xml:space="preserve"> </w:t>
      </w:r>
    </w:p>
    <w:p w14:paraId="1EB65647" w14:textId="46DDEDB4" w:rsidR="008725E9" w:rsidRPr="008725E9" w:rsidRDefault="00ED1E14" w:rsidP="008725E9">
      <w:pPr>
        <w:pStyle w:val="Heading3"/>
        <w:rPr>
          <w:rFonts w:eastAsia="Times New Roman" w:cstheme="minorHAnsi"/>
          <w:lang w:eastAsia="en-AU"/>
        </w:rPr>
      </w:pPr>
      <w:r>
        <w:rPr>
          <w:rFonts w:eastAsia="Times New Roman" w:cstheme="minorHAnsi"/>
          <w:lang w:eastAsia="en-AU"/>
        </w:rPr>
        <w:t>5</w:t>
      </w:r>
      <w:r w:rsidR="00933E79">
        <w:rPr>
          <w:rFonts w:eastAsia="Times New Roman" w:cstheme="minorHAnsi"/>
          <w:lang w:eastAsia="en-AU"/>
        </w:rPr>
        <w:t>.1 Shorter F</w:t>
      </w:r>
      <w:r w:rsidR="008725E9" w:rsidRPr="008725E9">
        <w:rPr>
          <w:rFonts w:eastAsia="Times New Roman" w:cstheme="minorHAnsi"/>
          <w:lang w:eastAsia="en-AU"/>
        </w:rPr>
        <w:t xml:space="preserve">indings </w:t>
      </w:r>
      <w:r w:rsidR="00933E79">
        <w:rPr>
          <w:rFonts w:eastAsia="Times New Roman" w:cstheme="minorHAnsi"/>
          <w:lang w:eastAsia="en-AU"/>
        </w:rPr>
        <w:t>I</w:t>
      </w:r>
      <w:r w:rsidR="008725E9" w:rsidRPr="008725E9">
        <w:rPr>
          <w:rFonts w:eastAsia="Times New Roman" w:cstheme="minorHAnsi"/>
          <w:lang w:eastAsia="en-AU"/>
        </w:rPr>
        <w:t xml:space="preserve">nitiative </w:t>
      </w:r>
      <w:r w:rsidR="00346170">
        <w:rPr>
          <w:rFonts w:eastAsia="Times New Roman" w:cstheme="minorHAnsi"/>
          <w:lang w:eastAsia="en-AU"/>
        </w:rPr>
        <w:t>(</w:t>
      </w:r>
      <w:r w:rsidR="003601CE">
        <w:rPr>
          <w:rFonts w:eastAsia="Times New Roman" w:cstheme="minorHAnsi"/>
          <w:lang w:eastAsia="en-AU"/>
        </w:rPr>
        <w:t>Tom Gilbert</w:t>
      </w:r>
      <w:r w:rsidR="005A74AD">
        <w:rPr>
          <w:rFonts w:eastAsia="Times New Roman" w:cstheme="minorHAnsi"/>
          <w:lang w:eastAsia="en-AU"/>
        </w:rPr>
        <w:t>)</w:t>
      </w:r>
    </w:p>
    <w:p w14:paraId="5418AB99" w14:textId="6182378D" w:rsidR="00346170" w:rsidRDefault="00346170" w:rsidP="00346170">
      <w:pPr>
        <w:pStyle w:val="Bullet1"/>
      </w:pPr>
      <w:r w:rsidRPr="005930D2">
        <w:t>A</w:t>
      </w:r>
      <w:r>
        <w:t xml:space="preserve">dvance and </w:t>
      </w:r>
      <w:r w:rsidRPr="005930D2">
        <w:t>O</w:t>
      </w:r>
      <w:r>
        <w:t xml:space="preserve">verseas </w:t>
      </w:r>
      <w:r w:rsidRPr="005930D2">
        <w:t>F</w:t>
      </w:r>
      <w:r>
        <w:t xml:space="preserve">indings (AOF) aim to </w:t>
      </w:r>
      <w:r w:rsidRPr="005930D2">
        <w:t xml:space="preserve">provide certainty </w:t>
      </w:r>
      <w:r w:rsidR="002B1C31">
        <w:t xml:space="preserve">of eligibility </w:t>
      </w:r>
      <w:r w:rsidRPr="005930D2">
        <w:t xml:space="preserve">prior to </w:t>
      </w:r>
      <w:r>
        <w:t xml:space="preserve">application and are </w:t>
      </w:r>
      <w:r w:rsidR="00B61525">
        <w:t xml:space="preserve">mandatory </w:t>
      </w:r>
      <w:r>
        <w:t>for</w:t>
      </w:r>
      <w:r w:rsidRPr="005930D2">
        <w:t xml:space="preserve"> </w:t>
      </w:r>
      <w:r>
        <w:t>activities conducted overseas.</w:t>
      </w:r>
    </w:p>
    <w:p w14:paraId="517BE333" w14:textId="2F21DAE3" w:rsidR="00346170" w:rsidRDefault="002B1C31" w:rsidP="00346170">
      <w:pPr>
        <w:pStyle w:val="Bullet1"/>
      </w:pPr>
      <w:r>
        <w:t xml:space="preserve">AusIndustry is improving the </w:t>
      </w:r>
      <w:r w:rsidR="00346170">
        <w:t xml:space="preserve">administration </w:t>
      </w:r>
      <w:r>
        <w:t xml:space="preserve">of these findings </w:t>
      </w:r>
      <w:r w:rsidR="00346170">
        <w:t xml:space="preserve">in response to </w:t>
      </w:r>
      <w:r w:rsidR="00532891">
        <w:t xml:space="preserve">feedback that we received from </w:t>
      </w:r>
      <w:r w:rsidR="00346170">
        <w:t>stakeholder</w:t>
      </w:r>
      <w:r w:rsidR="00532891">
        <w:t>s</w:t>
      </w:r>
      <w:r w:rsidR="00346170">
        <w:t xml:space="preserve"> and recommendations made </w:t>
      </w:r>
      <w:r w:rsidR="00B61525">
        <w:t xml:space="preserve">following reviews of the program by the </w:t>
      </w:r>
      <w:r w:rsidR="00346170">
        <w:t>Australian National Audit Office (ANAO) and Board of Taxation</w:t>
      </w:r>
      <w:r w:rsidR="008950DF">
        <w:t xml:space="preserve"> (BoT)</w:t>
      </w:r>
      <w:r w:rsidR="00B61525">
        <w:t xml:space="preserve">. </w:t>
      </w:r>
      <w:r w:rsidR="00346170">
        <w:t>Key areas of focus include:</w:t>
      </w:r>
    </w:p>
    <w:p w14:paraId="18C7F478" w14:textId="77777777" w:rsidR="00346170" w:rsidRPr="006F46CD" w:rsidRDefault="00346170" w:rsidP="00BD3DD6">
      <w:pPr>
        <w:pStyle w:val="Bullet2"/>
      </w:pPr>
      <w:r w:rsidRPr="006F46CD">
        <w:t>new processes to target and close information gaps to enable assessment decisions</w:t>
      </w:r>
    </w:p>
    <w:p w14:paraId="49FA6A5F" w14:textId="77777777" w:rsidR="00346170" w:rsidRPr="006F46CD" w:rsidRDefault="00346170" w:rsidP="00BD3DD6">
      <w:pPr>
        <w:pStyle w:val="Bullet2"/>
      </w:pPr>
      <w:r w:rsidRPr="006F46CD">
        <w:t xml:space="preserve">revised assessment processes to create </w:t>
      </w:r>
      <w:r w:rsidR="0040787A">
        <w:t xml:space="preserve">higher </w:t>
      </w:r>
      <w:r w:rsidRPr="006F46CD">
        <w:t>efficiencies</w:t>
      </w:r>
    </w:p>
    <w:p w14:paraId="26CFA2FE" w14:textId="77777777" w:rsidR="00346170" w:rsidRPr="006F46CD" w:rsidRDefault="00346170" w:rsidP="00BD3DD6">
      <w:pPr>
        <w:pStyle w:val="Bullet2"/>
      </w:pPr>
      <w:r w:rsidRPr="006F46CD">
        <w:t>surge resourcing to help process applications in peak lodgement periods</w:t>
      </w:r>
    </w:p>
    <w:p w14:paraId="06ACB402" w14:textId="77777777" w:rsidR="00346170" w:rsidRPr="006F46CD" w:rsidRDefault="00346170" w:rsidP="00BD3DD6">
      <w:pPr>
        <w:pStyle w:val="Bullet2"/>
      </w:pPr>
      <w:r w:rsidRPr="006F46CD">
        <w:t>enhanced tracking and monitoring of case age</w:t>
      </w:r>
    </w:p>
    <w:p w14:paraId="2A825A04" w14:textId="77777777" w:rsidR="00346170" w:rsidRDefault="00346170" w:rsidP="00346170">
      <w:pPr>
        <w:pStyle w:val="Bullet1"/>
      </w:pPr>
      <w:r>
        <w:t>AOF examination timeframes have decreased over the last 3 years, with the average completion time from application lodgement to decision improving by around 30% (from 181 days in 2020-21 to 111 days in 2021-22).</w:t>
      </w:r>
    </w:p>
    <w:p w14:paraId="65C40226" w14:textId="40D6FA0D" w:rsidR="00346170" w:rsidRDefault="00346170" w:rsidP="00346170">
      <w:pPr>
        <w:pStyle w:val="Bullet1"/>
      </w:pPr>
      <w:r>
        <w:t xml:space="preserve">AusIndustry is actively working to shorten </w:t>
      </w:r>
      <w:r w:rsidR="00786BD2">
        <w:t xml:space="preserve">timeframes </w:t>
      </w:r>
      <w:r w:rsidR="00532891">
        <w:t>to 90 days</w:t>
      </w:r>
      <w:r w:rsidR="008950DF">
        <w:t>,</w:t>
      </w:r>
      <w:r w:rsidR="00532891">
        <w:t xml:space="preserve"> however c</w:t>
      </w:r>
      <w:r>
        <w:t>ompanies seeking extensions of time for responses may extend decision timeframes.</w:t>
      </w:r>
    </w:p>
    <w:p w14:paraId="5E0DF871" w14:textId="104A4858" w:rsidR="00532891" w:rsidRDefault="0022338F" w:rsidP="00532891">
      <w:pPr>
        <w:pStyle w:val="Bullet1"/>
      </w:pPr>
      <w:r>
        <w:t>Advance F</w:t>
      </w:r>
      <w:r w:rsidR="00532891">
        <w:t>indings provide certainty from the regulators as the decision</w:t>
      </w:r>
      <w:r w:rsidR="001C5368" w:rsidRPr="006F46CD">
        <w:t xml:space="preserve"> </w:t>
      </w:r>
      <w:r w:rsidR="00532891">
        <w:t>is binding. These findings can</w:t>
      </w:r>
      <w:r w:rsidR="00346170" w:rsidRPr="006F46CD">
        <w:t xml:space="preserve"> </w:t>
      </w:r>
      <w:r w:rsidR="00532891">
        <w:t xml:space="preserve">often be used to </w:t>
      </w:r>
      <w:r w:rsidR="00346170" w:rsidRPr="006F46CD">
        <w:t>support fundraising or investment decisions</w:t>
      </w:r>
      <w:r w:rsidR="008950DF">
        <w:t>,</w:t>
      </w:r>
      <w:r w:rsidR="001C5368">
        <w:t xml:space="preserve"> which is</w:t>
      </w:r>
      <w:r w:rsidR="00346170" w:rsidRPr="006F46CD">
        <w:t xml:space="preserve"> especially useful if significant expenditure is involved</w:t>
      </w:r>
      <w:r w:rsidR="00532891">
        <w:t>.</w:t>
      </w:r>
    </w:p>
    <w:p w14:paraId="4BE7A2A7" w14:textId="76F47CF8" w:rsidR="00532891" w:rsidRDefault="00532891" w:rsidP="00532891">
      <w:pPr>
        <w:pStyle w:val="Bullet1"/>
      </w:pPr>
      <w:r>
        <w:t xml:space="preserve">There are </w:t>
      </w:r>
      <w:r w:rsidR="00346170" w:rsidRPr="006F46CD">
        <w:t>no penalties derive</w:t>
      </w:r>
      <w:r>
        <w:t>d</w:t>
      </w:r>
      <w:r w:rsidR="00346170" w:rsidRPr="006F46CD">
        <w:t xml:space="preserve"> from a negative f</w:t>
      </w:r>
      <w:r>
        <w:t xml:space="preserve">inding </w:t>
      </w:r>
      <w:r w:rsidR="008950DF">
        <w:t xml:space="preserve">because </w:t>
      </w:r>
      <w:r w:rsidR="00346170" w:rsidRPr="006F46CD">
        <w:t>an advance finding is not an audit</w:t>
      </w:r>
      <w:r>
        <w:t xml:space="preserve">. This process is in fact </w:t>
      </w:r>
      <w:r w:rsidR="00346170" w:rsidRPr="006F46CD">
        <w:t xml:space="preserve">viewed as a positive compliance behaviour in light of the </w:t>
      </w:r>
      <w:r>
        <w:t>program’s integrity framework as it shows the entity is taking steps to ensure they meet the eligibility requirements.</w:t>
      </w:r>
    </w:p>
    <w:p w14:paraId="52AD5DDE" w14:textId="7A6790F6" w:rsidR="00346170" w:rsidRPr="006F46CD" w:rsidRDefault="008950DF" w:rsidP="00532891">
      <w:pPr>
        <w:pStyle w:val="Bullet1"/>
      </w:pPr>
      <w:r>
        <w:t>Advance</w:t>
      </w:r>
      <w:r w:rsidR="00532891">
        <w:t xml:space="preserve"> </w:t>
      </w:r>
      <w:r w:rsidR="0022338F">
        <w:t>F</w:t>
      </w:r>
      <w:r w:rsidR="00346170" w:rsidRPr="006F46CD">
        <w:t>indings</w:t>
      </w:r>
      <w:r w:rsidR="00532891">
        <w:t xml:space="preserve"> last for three years</w:t>
      </w:r>
      <w:r>
        <w:t>, so</w:t>
      </w:r>
      <w:r w:rsidR="00532891">
        <w:t xml:space="preserve"> they provide f</w:t>
      </w:r>
      <w:r w:rsidR="00346170" w:rsidRPr="006F46CD">
        <w:t xml:space="preserve">lexibility </w:t>
      </w:r>
      <w:r w:rsidR="001C5368">
        <w:t>in</w:t>
      </w:r>
      <w:r w:rsidR="001C5368" w:rsidRPr="006F46CD">
        <w:t xml:space="preserve"> </w:t>
      </w:r>
      <w:r w:rsidR="00346170" w:rsidRPr="006F46CD">
        <w:t>registering and claiming R&amp;D activities.</w:t>
      </w:r>
    </w:p>
    <w:p w14:paraId="213A9422" w14:textId="6CA1D3F3" w:rsidR="008725E9" w:rsidRDefault="002779AF" w:rsidP="008725E9">
      <w:pPr>
        <w:pStyle w:val="Heading3"/>
        <w:rPr>
          <w:rFonts w:eastAsia="Times New Roman" w:cstheme="minorHAnsi"/>
          <w:lang w:eastAsia="en-AU"/>
        </w:rPr>
      </w:pPr>
      <w:r>
        <w:rPr>
          <w:rFonts w:eastAsia="Times New Roman" w:cstheme="minorHAnsi"/>
          <w:lang w:eastAsia="en-AU"/>
        </w:rPr>
        <w:t>6</w:t>
      </w:r>
      <w:r w:rsidR="008725E9" w:rsidRPr="008725E9">
        <w:rPr>
          <w:rFonts w:eastAsia="Times New Roman" w:cstheme="minorHAnsi"/>
          <w:lang w:eastAsia="en-AU"/>
        </w:rPr>
        <w:t xml:space="preserve">.2 </w:t>
      </w:r>
      <w:r w:rsidR="005A74AD">
        <w:rPr>
          <w:rFonts w:eastAsia="Times New Roman" w:cstheme="minorHAnsi"/>
          <w:lang w:eastAsia="en-AU"/>
        </w:rPr>
        <w:t>Discussion</w:t>
      </w:r>
      <w:r w:rsidR="00933E79">
        <w:rPr>
          <w:rFonts w:eastAsia="Times New Roman" w:cstheme="minorHAnsi"/>
          <w:lang w:eastAsia="en-AU"/>
        </w:rPr>
        <w:t xml:space="preserve"> on Use and V</w:t>
      </w:r>
      <w:r w:rsidR="008725E9" w:rsidRPr="008725E9">
        <w:rPr>
          <w:rFonts w:eastAsia="Times New Roman" w:cstheme="minorHAnsi"/>
          <w:lang w:eastAsia="en-AU"/>
        </w:rPr>
        <w:t>alue of Advance Findings</w:t>
      </w:r>
      <w:r w:rsidR="00346170">
        <w:rPr>
          <w:rFonts w:eastAsia="Times New Roman" w:cstheme="minorHAnsi"/>
          <w:lang w:eastAsia="en-AU"/>
        </w:rPr>
        <w:t xml:space="preserve"> (Malcolm Jones</w:t>
      </w:r>
      <w:r w:rsidR="008A75B4">
        <w:rPr>
          <w:rFonts w:eastAsia="Times New Roman" w:cstheme="minorHAnsi"/>
          <w:lang w:eastAsia="en-AU"/>
        </w:rPr>
        <w:t>)</w:t>
      </w:r>
    </w:p>
    <w:p w14:paraId="5F51949F" w14:textId="2DDB0006" w:rsidR="0073319D" w:rsidRDefault="00E90BBC" w:rsidP="006E61B7">
      <w:pPr>
        <w:pStyle w:val="Bullet1"/>
      </w:pPr>
      <w:bookmarkStart w:id="11" w:name="_Justified_Trust_&amp;"/>
      <w:bookmarkStart w:id="12" w:name="_Other_Business_and"/>
      <w:bookmarkEnd w:id="11"/>
      <w:bookmarkEnd w:id="12"/>
      <w:r>
        <w:t>Key points</w:t>
      </w:r>
      <w:r w:rsidR="006F46CD">
        <w:t xml:space="preserve"> on the use and value of </w:t>
      </w:r>
      <w:r w:rsidR="0022338F">
        <w:t>A</w:t>
      </w:r>
      <w:r w:rsidR="006F46CD">
        <w:t xml:space="preserve">dvance </w:t>
      </w:r>
      <w:r w:rsidR="0022338F">
        <w:t>F</w:t>
      </w:r>
      <w:r w:rsidR="006F46CD">
        <w:t>indings</w:t>
      </w:r>
      <w:r w:rsidR="006E61B7">
        <w:t xml:space="preserve"> include:</w:t>
      </w:r>
    </w:p>
    <w:p w14:paraId="68D47754" w14:textId="3BC6BB2B" w:rsidR="009B318F" w:rsidRDefault="009B318F" w:rsidP="00BD3DD6">
      <w:pPr>
        <w:pStyle w:val="Bullet2"/>
      </w:pPr>
      <w:r w:rsidRPr="004D623C">
        <w:t xml:space="preserve">Previously long processing times </w:t>
      </w:r>
      <w:r w:rsidR="007F5B83">
        <w:t>were</w:t>
      </w:r>
      <w:r w:rsidR="007F5B83" w:rsidRPr="004D623C">
        <w:t xml:space="preserve"> </w:t>
      </w:r>
      <w:r w:rsidRPr="004D623C">
        <w:t xml:space="preserve">a barrier to </w:t>
      </w:r>
      <w:r w:rsidR="007F5B83">
        <w:t xml:space="preserve">use of </w:t>
      </w:r>
      <w:r w:rsidR="0022338F">
        <w:t>Advance F</w:t>
      </w:r>
      <w:r w:rsidRPr="004D623C">
        <w:t>inding</w:t>
      </w:r>
      <w:r w:rsidR="007F5B83">
        <w:t>s.</w:t>
      </w:r>
      <w:r w:rsidRPr="004D623C">
        <w:t xml:space="preserve"> </w:t>
      </w:r>
    </w:p>
    <w:p w14:paraId="39F2B7B8" w14:textId="35EAB119" w:rsidR="00FC1313" w:rsidRDefault="00FC1313" w:rsidP="00BD3DD6">
      <w:pPr>
        <w:pStyle w:val="Bullet2"/>
      </w:pPr>
      <w:r>
        <w:t>The financial cost of completing the R&amp;D activities needs to justify the time required to complete the advance finding process</w:t>
      </w:r>
      <w:r w:rsidR="002B1C31">
        <w:t>.</w:t>
      </w:r>
    </w:p>
    <w:p w14:paraId="2F7EDE65" w14:textId="249F872C" w:rsidR="00FC1313" w:rsidRPr="00FC1313" w:rsidRDefault="00FC1313" w:rsidP="00BD3DD6">
      <w:pPr>
        <w:pStyle w:val="Bullet2"/>
      </w:pPr>
      <w:r>
        <w:lastRenderedPageBreak/>
        <w:t>When completing an Early Stage Investment Company submission and raising venture capital</w:t>
      </w:r>
      <w:r w:rsidR="008950DF">
        <w:t>,</w:t>
      </w:r>
      <w:r>
        <w:t xml:space="preserve"> an advance finding </w:t>
      </w:r>
      <w:r w:rsidR="008663BA">
        <w:t>is often</w:t>
      </w:r>
      <w:r>
        <w:t xml:space="preserve"> important</w:t>
      </w:r>
      <w:r w:rsidR="002B1C31">
        <w:t>.</w:t>
      </w:r>
    </w:p>
    <w:p w14:paraId="31268649" w14:textId="39F441E8" w:rsidR="00FC1313" w:rsidRPr="00FC1313" w:rsidRDefault="0022338F" w:rsidP="00BD3DD6">
      <w:pPr>
        <w:pStyle w:val="Bullet2"/>
      </w:pPr>
      <w:r>
        <w:t>Advance F</w:t>
      </w:r>
      <w:r w:rsidR="00FC1313">
        <w:t xml:space="preserve">indings </w:t>
      </w:r>
      <w:r w:rsidR="00C33225">
        <w:t>can</w:t>
      </w:r>
      <w:r w:rsidR="00FC1313">
        <w:t xml:space="preserve"> provide certainty when claimants aren’t clear on eligibility</w:t>
      </w:r>
      <w:r w:rsidR="008663BA">
        <w:t>.</w:t>
      </w:r>
      <w:r w:rsidR="00FC1313">
        <w:t xml:space="preserve"> </w:t>
      </w:r>
      <w:r w:rsidR="008663BA">
        <w:t>I</w:t>
      </w:r>
      <w:r w:rsidR="00FC1313">
        <w:t>ncreased guidance also assist</w:t>
      </w:r>
      <w:r w:rsidR="008663BA">
        <w:t>s</w:t>
      </w:r>
      <w:r w:rsidR="002B1C31">
        <w:t xml:space="preserve"> to increase confidence.</w:t>
      </w:r>
    </w:p>
    <w:p w14:paraId="2DFA5DD6" w14:textId="61F1E8CF" w:rsidR="00FC1313" w:rsidRDefault="00FC1313" w:rsidP="00BD3DD6">
      <w:pPr>
        <w:pStyle w:val="Bullet2"/>
      </w:pPr>
      <w:r>
        <w:t xml:space="preserve">The </w:t>
      </w:r>
      <w:r w:rsidR="004217A9">
        <w:t xml:space="preserve">reduced </w:t>
      </w:r>
      <w:r>
        <w:t xml:space="preserve">processing times this year have been noted by many attendees and </w:t>
      </w:r>
      <w:r w:rsidR="008663BA">
        <w:t xml:space="preserve">have </w:t>
      </w:r>
      <w:r>
        <w:t>encourage</w:t>
      </w:r>
      <w:r w:rsidR="008663BA">
        <w:t>d</w:t>
      </w:r>
      <w:r>
        <w:t xml:space="preserve"> </w:t>
      </w:r>
      <w:r w:rsidR="008663BA">
        <w:t xml:space="preserve">greater </w:t>
      </w:r>
      <w:r w:rsidR="0022338F">
        <w:t>use of the Advance F</w:t>
      </w:r>
      <w:r>
        <w:t>inding process</w:t>
      </w:r>
      <w:r w:rsidR="002B1C31">
        <w:t>.</w:t>
      </w:r>
      <w:r>
        <w:t xml:space="preserve"> </w:t>
      </w:r>
    </w:p>
    <w:p w14:paraId="78EEA0DF" w14:textId="1857F826" w:rsidR="00FC1313" w:rsidRDefault="00FC1313" w:rsidP="00BD3DD6">
      <w:pPr>
        <w:pStyle w:val="Bullet2"/>
      </w:pPr>
      <w:r>
        <w:t>It would be bene</w:t>
      </w:r>
      <w:r w:rsidR="0022338F">
        <w:t>ficial if the content from the Advance F</w:t>
      </w:r>
      <w:r>
        <w:t>inding application could automatically transfer to the application for registration</w:t>
      </w:r>
      <w:r w:rsidR="002B1C31">
        <w:t>.</w:t>
      </w:r>
    </w:p>
    <w:p w14:paraId="759E8BCF" w14:textId="1BE5D023" w:rsidR="00FC1313" w:rsidRDefault="0022338F" w:rsidP="00BD3DD6">
      <w:pPr>
        <w:pStyle w:val="Bullet2"/>
      </w:pPr>
      <w:r>
        <w:t>Advance F</w:t>
      </w:r>
      <w:r w:rsidR="00FC1313">
        <w:t>indings can help to attract talent in cases where equity is being offered</w:t>
      </w:r>
      <w:r w:rsidR="008663BA">
        <w:t>,</w:t>
      </w:r>
      <w:r w:rsidR="00FC1313">
        <w:t xml:space="preserve"> as this gives the </w:t>
      </w:r>
      <w:r w:rsidR="008663BA">
        <w:t xml:space="preserve">claimant’s </w:t>
      </w:r>
      <w:r w:rsidR="00FC1313">
        <w:t>research credibility</w:t>
      </w:r>
      <w:r w:rsidR="002B1C31">
        <w:t>.</w:t>
      </w:r>
      <w:r w:rsidR="00FC1313">
        <w:t xml:space="preserve"> </w:t>
      </w:r>
    </w:p>
    <w:p w14:paraId="5E668DB1" w14:textId="22B8F448" w:rsidR="00FC1313" w:rsidRPr="004D623C" w:rsidRDefault="00631754" w:rsidP="00BD3DD6">
      <w:pPr>
        <w:pStyle w:val="Bullet2"/>
      </w:pPr>
      <w:r>
        <w:t>Although an</w:t>
      </w:r>
      <w:r w:rsidR="0022338F">
        <w:t xml:space="preserve"> Advance F</w:t>
      </w:r>
      <w:r w:rsidR="00FC1313">
        <w:t xml:space="preserve">inding can provide a level of certainty around activities, </w:t>
      </w:r>
      <w:r>
        <w:t xml:space="preserve">R&amp;D does not always go to plan and </w:t>
      </w:r>
      <w:r w:rsidR="00FC1313">
        <w:t>activities may change over time</w:t>
      </w:r>
      <w:r w:rsidR="002B1C31">
        <w:t>.</w:t>
      </w:r>
    </w:p>
    <w:p w14:paraId="1F56A521" w14:textId="77777777" w:rsidR="006E61B7" w:rsidRDefault="006E61B7" w:rsidP="006E61B7">
      <w:pPr>
        <w:pStyle w:val="Bullet1"/>
        <w:numPr>
          <w:ilvl w:val="0"/>
          <w:numId w:val="0"/>
        </w:numPr>
        <w:ind w:left="284" w:hanging="284"/>
      </w:pPr>
    </w:p>
    <w:p w14:paraId="5A09B70E" w14:textId="77777777" w:rsidR="00446150" w:rsidRDefault="00446150" w:rsidP="00446150">
      <w:pPr>
        <w:spacing w:before="0" w:after="200" w:line="276" w:lineRule="auto"/>
        <w:jc w:val="center"/>
        <w:rPr>
          <w:b/>
        </w:rPr>
      </w:pPr>
      <w:r w:rsidRPr="00446150">
        <w:rPr>
          <w:b/>
        </w:rPr>
        <w:t xml:space="preserve">End of Summary </w:t>
      </w:r>
    </w:p>
    <w:p w14:paraId="41C08CA5" w14:textId="77777777" w:rsidR="00446150" w:rsidRDefault="00446150" w:rsidP="00446150">
      <w:pPr>
        <w:spacing w:before="0" w:after="200" w:line="276" w:lineRule="auto"/>
        <w:jc w:val="center"/>
        <w:rPr>
          <w:b/>
        </w:rPr>
      </w:pPr>
    </w:p>
    <w:p w14:paraId="12E079C0" w14:textId="77777777" w:rsidR="00446150" w:rsidRDefault="00446150">
      <w:pPr>
        <w:rPr>
          <w:b/>
        </w:rPr>
      </w:pPr>
      <w:r>
        <w:rPr>
          <w:b/>
        </w:rPr>
        <w:br w:type="page"/>
      </w:r>
    </w:p>
    <w:p w14:paraId="48AB6C21" w14:textId="77777777" w:rsidR="00446150" w:rsidRPr="00893304" w:rsidRDefault="00446150" w:rsidP="00BD3DD6">
      <w:pPr>
        <w:pStyle w:val="Heading2"/>
      </w:pPr>
      <w:r w:rsidRPr="00893304">
        <w:lastRenderedPageBreak/>
        <w:t>Appendix A</w:t>
      </w:r>
    </w:p>
    <w:p w14:paraId="735FFC5C" w14:textId="77777777" w:rsidR="00446150" w:rsidRDefault="00446150" w:rsidP="00566C50">
      <w:pPr>
        <w:pStyle w:val="Title"/>
        <w:jc w:val="center"/>
        <w:rPr>
          <w:sz w:val="52"/>
          <w:szCs w:val="52"/>
        </w:rPr>
      </w:pPr>
      <w:r w:rsidRPr="79E4B837">
        <w:rPr>
          <w:sz w:val="52"/>
          <w:szCs w:val="52"/>
        </w:rPr>
        <w:t>R&amp;D Tax Incentive</w:t>
      </w:r>
      <w:r>
        <w:br/>
      </w:r>
      <w:r w:rsidRPr="79E4B837">
        <w:rPr>
          <w:sz w:val="52"/>
          <w:szCs w:val="52"/>
        </w:rPr>
        <w:t>Program Update – September 2022</w:t>
      </w:r>
    </w:p>
    <w:p w14:paraId="44615579" w14:textId="34A6CB9D" w:rsidR="00446150" w:rsidRDefault="00446150" w:rsidP="0041797A">
      <w:pPr>
        <w:pStyle w:val="Heading3"/>
        <w:spacing w:before="0" w:after="0"/>
      </w:pPr>
    </w:p>
    <w:p w14:paraId="6518ED21" w14:textId="77777777" w:rsidR="00446150" w:rsidRDefault="00446150" w:rsidP="00704F8F">
      <w:pPr>
        <w:pStyle w:val="Heading3"/>
        <w:pBdr>
          <w:top w:val="single" w:sz="4" w:space="1" w:color="auto"/>
          <w:left w:val="single" w:sz="4" w:space="4" w:color="auto"/>
          <w:bottom w:val="single" w:sz="4" w:space="1" w:color="auto"/>
          <w:right w:val="single" w:sz="4" w:space="5" w:color="auto"/>
        </w:pBdr>
        <w:shd w:val="clear" w:color="auto" w:fill="DFE2F1"/>
        <w:spacing w:before="0" w:after="0"/>
        <w:ind w:left="-426" w:right="-319" w:firstLine="426"/>
        <w:rPr>
          <w:sz w:val="22"/>
        </w:rPr>
      </w:pPr>
      <w:r w:rsidRPr="00DC4D18">
        <w:rPr>
          <w:sz w:val="22"/>
        </w:rPr>
        <w:t xml:space="preserve">This update provides information on various elements of program administration. </w:t>
      </w:r>
    </w:p>
    <w:p w14:paraId="084DF398" w14:textId="77777777" w:rsidR="00446150" w:rsidRDefault="00446150" w:rsidP="00704F8F">
      <w:pPr>
        <w:pStyle w:val="Heading3"/>
        <w:pBdr>
          <w:top w:val="single" w:sz="4" w:space="1" w:color="auto"/>
          <w:left w:val="single" w:sz="4" w:space="4" w:color="auto"/>
          <w:bottom w:val="single" w:sz="4" w:space="1" w:color="auto"/>
          <w:right w:val="single" w:sz="4" w:space="5" w:color="auto"/>
        </w:pBdr>
        <w:shd w:val="clear" w:color="auto" w:fill="DFE2F1"/>
        <w:spacing w:before="0" w:after="0"/>
        <w:ind w:left="-426" w:right="-319" w:firstLine="426"/>
        <w:rPr>
          <w:sz w:val="22"/>
        </w:rPr>
      </w:pPr>
      <w:r w:rsidRPr="00DC4D18">
        <w:rPr>
          <w:sz w:val="22"/>
        </w:rPr>
        <w:t>You are welcome to comment on the information or ask questions during the meeting.</w:t>
      </w:r>
    </w:p>
    <w:p w14:paraId="3186B136" w14:textId="77777777" w:rsidR="00446150" w:rsidRPr="00FE478F" w:rsidRDefault="00446150" w:rsidP="00704F8F">
      <w:pPr>
        <w:pBdr>
          <w:top w:val="single" w:sz="4" w:space="1" w:color="auto"/>
          <w:left w:val="single" w:sz="4" w:space="4" w:color="auto"/>
          <w:bottom w:val="single" w:sz="4" w:space="1" w:color="auto"/>
          <w:right w:val="single" w:sz="4" w:space="5" w:color="auto"/>
        </w:pBdr>
        <w:shd w:val="clear" w:color="auto" w:fill="DFE2F1"/>
        <w:spacing w:before="0" w:after="0"/>
        <w:ind w:left="-426" w:right="-319" w:firstLine="426"/>
      </w:pPr>
    </w:p>
    <w:p w14:paraId="174937CA" w14:textId="77777777" w:rsidR="00446150" w:rsidRDefault="00446150" w:rsidP="00704F8F">
      <w:pPr>
        <w:pStyle w:val="Heading3"/>
        <w:pBdr>
          <w:top w:val="single" w:sz="4" w:space="1" w:color="auto"/>
          <w:left w:val="single" w:sz="4" w:space="4" w:color="auto"/>
          <w:bottom w:val="single" w:sz="4" w:space="1" w:color="auto"/>
          <w:right w:val="single" w:sz="4" w:space="5" w:color="auto"/>
        </w:pBdr>
        <w:shd w:val="clear" w:color="auto" w:fill="DFE2F1"/>
        <w:spacing w:before="0"/>
        <w:ind w:left="-426" w:right="-319" w:firstLine="426"/>
        <w:rPr>
          <w:sz w:val="22"/>
        </w:rPr>
      </w:pPr>
      <w:r w:rsidRPr="00DC4D18">
        <w:rPr>
          <w:sz w:val="22"/>
        </w:rPr>
        <w:t>1.</w:t>
      </w:r>
      <w:r w:rsidRPr="00DC4D18">
        <w:rPr>
          <w:sz w:val="22"/>
        </w:rPr>
        <w:tab/>
      </w:r>
      <w:r>
        <w:rPr>
          <w:sz w:val="22"/>
        </w:rPr>
        <w:t xml:space="preserve">Departmental changes </w:t>
      </w:r>
    </w:p>
    <w:p w14:paraId="6EEE0BAF" w14:textId="77777777" w:rsidR="00446150" w:rsidRPr="00DC4D18" w:rsidRDefault="00446150" w:rsidP="00704F8F">
      <w:pPr>
        <w:pStyle w:val="Heading3"/>
        <w:pBdr>
          <w:top w:val="single" w:sz="4" w:space="1" w:color="auto"/>
          <w:left w:val="single" w:sz="4" w:space="4" w:color="auto"/>
          <w:bottom w:val="single" w:sz="4" w:space="1" w:color="auto"/>
          <w:right w:val="single" w:sz="4" w:space="5" w:color="auto"/>
        </w:pBdr>
        <w:shd w:val="clear" w:color="auto" w:fill="DFE2F1"/>
        <w:spacing w:before="0"/>
        <w:ind w:left="-426" w:right="-319" w:firstLine="426"/>
        <w:rPr>
          <w:sz w:val="22"/>
        </w:rPr>
      </w:pPr>
      <w:r>
        <w:rPr>
          <w:sz w:val="22"/>
        </w:rPr>
        <w:t xml:space="preserve">2.  </w:t>
      </w:r>
      <w:r>
        <w:rPr>
          <w:sz w:val="22"/>
        </w:rPr>
        <w:tab/>
      </w:r>
      <w:r w:rsidRPr="00DC4D18">
        <w:rPr>
          <w:sz w:val="22"/>
        </w:rPr>
        <w:t>Advance and overseas findings</w:t>
      </w:r>
    </w:p>
    <w:p w14:paraId="3D432778" w14:textId="77777777" w:rsidR="00446150" w:rsidRPr="00DC4D18" w:rsidRDefault="00446150" w:rsidP="00704F8F">
      <w:pPr>
        <w:pStyle w:val="Heading3"/>
        <w:pBdr>
          <w:top w:val="single" w:sz="4" w:space="1" w:color="auto"/>
          <w:left w:val="single" w:sz="4" w:space="4" w:color="auto"/>
          <w:bottom w:val="single" w:sz="4" w:space="1" w:color="auto"/>
          <w:right w:val="single" w:sz="4" w:space="5" w:color="auto"/>
        </w:pBdr>
        <w:shd w:val="clear" w:color="auto" w:fill="DFE2F1"/>
        <w:spacing w:before="0"/>
        <w:ind w:left="-426" w:right="-319" w:firstLine="426"/>
        <w:rPr>
          <w:sz w:val="22"/>
        </w:rPr>
      </w:pPr>
      <w:r>
        <w:rPr>
          <w:sz w:val="22"/>
        </w:rPr>
        <w:t>3</w:t>
      </w:r>
      <w:r w:rsidRPr="00DC4D18">
        <w:rPr>
          <w:sz w:val="22"/>
        </w:rPr>
        <w:t>.</w:t>
      </w:r>
      <w:r w:rsidRPr="00DC4D18">
        <w:rPr>
          <w:sz w:val="22"/>
        </w:rPr>
        <w:tab/>
        <w:t>Program guidance</w:t>
      </w:r>
      <w:r w:rsidRPr="00DC4D18">
        <w:rPr>
          <w:sz w:val="22"/>
        </w:rPr>
        <w:br/>
      </w:r>
      <w:r w:rsidRPr="00DC4D18">
        <w:rPr>
          <w:sz w:val="22"/>
        </w:rPr>
        <w:tab/>
        <w:t xml:space="preserve">- </w:t>
      </w:r>
      <w:r>
        <w:rPr>
          <w:sz w:val="22"/>
        </w:rPr>
        <w:t xml:space="preserve"> </w:t>
      </w:r>
      <w:r w:rsidRPr="00DC4D18">
        <w:rPr>
          <w:sz w:val="22"/>
        </w:rPr>
        <w:t>Information sessions</w:t>
      </w:r>
      <w:r w:rsidRPr="00DC4D18">
        <w:rPr>
          <w:sz w:val="22"/>
        </w:rPr>
        <w:br/>
      </w:r>
      <w:r w:rsidRPr="00DC4D18">
        <w:rPr>
          <w:sz w:val="22"/>
        </w:rPr>
        <w:tab/>
        <w:t xml:space="preserve">- </w:t>
      </w:r>
      <w:r>
        <w:rPr>
          <w:sz w:val="22"/>
        </w:rPr>
        <w:t xml:space="preserve"> </w:t>
      </w:r>
      <w:r w:rsidRPr="00DC4D18">
        <w:rPr>
          <w:sz w:val="22"/>
        </w:rPr>
        <w:t>Guide to interpretation video</w:t>
      </w:r>
      <w:r w:rsidRPr="00DC4D18">
        <w:rPr>
          <w:sz w:val="22"/>
        </w:rPr>
        <w:br/>
      </w:r>
      <w:r w:rsidRPr="00DC4D18">
        <w:rPr>
          <w:sz w:val="22"/>
        </w:rPr>
        <w:tab/>
        <w:t xml:space="preserve">- </w:t>
      </w:r>
      <w:r>
        <w:rPr>
          <w:sz w:val="22"/>
        </w:rPr>
        <w:t xml:space="preserve"> </w:t>
      </w:r>
      <w:r w:rsidRPr="00DC4D18">
        <w:rPr>
          <w:sz w:val="22"/>
        </w:rPr>
        <w:t>Website updates</w:t>
      </w:r>
    </w:p>
    <w:p w14:paraId="544DF9D7" w14:textId="77777777" w:rsidR="00446150" w:rsidRPr="00DC4D18" w:rsidRDefault="00446150" w:rsidP="00704F8F">
      <w:pPr>
        <w:pStyle w:val="Heading3"/>
        <w:pBdr>
          <w:top w:val="single" w:sz="4" w:space="1" w:color="auto"/>
          <w:left w:val="single" w:sz="4" w:space="4" w:color="auto"/>
          <w:bottom w:val="single" w:sz="4" w:space="1" w:color="auto"/>
          <w:right w:val="single" w:sz="4" w:space="5" w:color="auto"/>
        </w:pBdr>
        <w:shd w:val="clear" w:color="auto" w:fill="DFE2F1"/>
        <w:spacing w:before="0"/>
        <w:ind w:left="-426" w:right="-319" w:firstLine="426"/>
        <w:rPr>
          <w:sz w:val="22"/>
        </w:rPr>
      </w:pPr>
      <w:r>
        <w:rPr>
          <w:sz w:val="22"/>
        </w:rPr>
        <w:t>4</w:t>
      </w:r>
      <w:r w:rsidRPr="00DC4D18">
        <w:rPr>
          <w:sz w:val="22"/>
        </w:rPr>
        <w:t>.</w:t>
      </w:r>
      <w:r w:rsidRPr="00DC4D18">
        <w:rPr>
          <w:sz w:val="22"/>
        </w:rPr>
        <w:tab/>
        <w:t>Determinations</w:t>
      </w:r>
    </w:p>
    <w:p w14:paraId="4E767F60" w14:textId="77777777" w:rsidR="00446150" w:rsidRPr="00685984" w:rsidRDefault="00446150" w:rsidP="00704F8F">
      <w:pPr>
        <w:pStyle w:val="Heading3"/>
        <w:pBdr>
          <w:top w:val="single" w:sz="4" w:space="1" w:color="auto"/>
          <w:left w:val="single" w:sz="4" w:space="4" w:color="auto"/>
          <w:bottom w:val="single" w:sz="4" w:space="1" w:color="auto"/>
          <w:right w:val="single" w:sz="4" w:space="5" w:color="auto"/>
        </w:pBdr>
        <w:shd w:val="clear" w:color="auto" w:fill="DFE2F1"/>
        <w:spacing w:before="0"/>
        <w:ind w:left="-426" w:right="-319" w:firstLine="426"/>
        <w:rPr>
          <w:sz w:val="22"/>
        </w:rPr>
      </w:pPr>
      <w:r>
        <w:rPr>
          <w:sz w:val="22"/>
        </w:rPr>
        <w:t>5</w:t>
      </w:r>
      <w:r w:rsidRPr="00DC4D18">
        <w:rPr>
          <w:sz w:val="22"/>
        </w:rPr>
        <w:t xml:space="preserve">. </w:t>
      </w:r>
      <w:r w:rsidRPr="00DC4D18">
        <w:rPr>
          <w:sz w:val="22"/>
        </w:rPr>
        <w:tab/>
        <w:t>Registrations updates</w:t>
      </w:r>
      <w:bookmarkStart w:id="13" w:name="_Determinations"/>
      <w:bookmarkEnd w:id="13"/>
      <w:r w:rsidRPr="00DC4D18">
        <w:rPr>
          <w:sz w:val="22"/>
        </w:rPr>
        <w:br/>
      </w:r>
      <w:r w:rsidRPr="00DC4D18">
        <w:rPr>
          <w:sz w:val="22"/>
        </w:rPr>
        <w:tab/>
        <w:t xml:space="preserve">- </w:t>
      </w:r>
      <w:r>
        <w:rPr>
          <w:sz w:val="22"/>
        </w:rPr>
        <w:t xml:space="preserve"> </w:t>
      </w:r>
      <w:r w:rsidRPr="00DC4D18">
        <w:rPr>
          <w:sz w:val="22"/>
        </w:rPr>
        <w:t>Customer portal</w:t>
      </w:r>
      <w:r w:rsidRPr="00DC4D18">
        <w:rPr>
          <w:sz w:val="22"/>
        </w:rPr>
        <w:br/>
      </w:r>
      <w:r w:rsidRPr="00DC4D18">
        <w:rPr>
          <w:sz w:val="22"/>
        </w:rPr>
        <w:tab/>
        <w:t xml:space="preserve">- </w:t>
      </w:r>
      <w:r>
        <w:rPr>
          <w:sz w:val="22"/>
        </w:rPr>
        <w:t xml:space="preserve"> </w:t>
      </w:r>
      <w:r w:rsidRPr="00DC4D18">
        <w:rPr>
          <w:sz w:val="22"/>
        </w:rPr>
        <w:t>Application insights</w:t>
      </w:r>
      <w:r w:rsidRPr="00DC4D18">
        <w:rPr>
          <w:sz w:val="22"/>
        </w:rPr>
        <w:br/>
      </w:r>
      <w:r w:rsidRPr="00DC4D18">
        <w:rPr>
          <w:sz w:val="22"/>
        </w:rPr>
        <w:tab/>
        <w:t xml:space="preserve">- </w:t>
      </w:r>
      <w:r>
        <w:rPr>
          <w:sz w:val="22"/>
        </w:rPr>
        <w:t xml:space="preserve"> Registration and claims data</w:t>
      </w:r>
    </w:p>
    <w:p w14:paraId="330170A6" w14:textId="77777777" w:rsidR="00446150" w:rsidRDefault="00446150" w:rsidP="00566C50">
      <w:pPr>
        <w:pStyle w:val="Heading2"/>
      </w:pPr>
      <w:bookmarkStart w:id="14" w:name="_Software_Guidance"/>
      <w:bookmarkStart w:id="15" w:name="_30_April_deadline"/>
      <w:bookmarkStart w:id="16" w:name="_Registration_Data"/>
      <w:bookmarkEnd w:id="14"/>
      <w:bookmarkEnd w:id="15"/>
      <w:bookmarkEnd w:id="16"/>
      <w:r>
        <w:t>Departmental changes</w:t>
      </w:r>
    </w:p>
    <w:p w14:paraId="594B63EC" w14:textId="77777777" w:rsidR="00446150" w:rsidRPr="005C39B1" w:rsidRDefault="00446150" w:rsidP="00566C50">
      <w:pPr>
        <w:rPr>
          <w:lang w:eastAsia="en-AU"/>
        </w:rPr>
      </w:pPr>
      <w:r>
        <w:rPr>
          <w:lang w:eastAsia="en-AU"/>
        </w:rPr>
        <w:t xml:space="preserve">Some changes have occurred in the department as a result of the change of government following the election in May 2022. </w:t>
      </w:r>
      <w:r w:rsidRPr="005C39B1">
        <w:rPr>
          <w:lang w:eastAsia="en-AU"/>
        </w:rPr>
        <w:t xml:space="preserve">The </w:t>
      </w:r>
      <w:r>
        <w:rPr>
          <w:lang w:eastAsia="en-AU"/>
        </w:rPr>
        <w:t>d</w:t>
      </w:r>
      <w:r w:rsidRPr="005C39B1">
        <w:rPr>
          <w:lang w:eastAsia="en-AU"/>
        </w:rPr>
        <w:t xml:space="preserve">epartment </w:t>
      </w:r>
      <w:r>
        <w:rPr>
          <w:lang w:eastAsia="en-AU"/>
        </w:rPr>
        <w:t>is now</w:t>
      </w:r>
      <w:r w:rsidRPr="005C39B1">
        <w:rPr>
          <w:lang w:eastAsia="en-AU"/>
        </w:rPr>
        <w:t xml:space="preserve"> the Department of Industry, Science and Resources (DISR) </w:t>
      </w:r>
      <w:r>
        <w:rPr>
          <w:lang w:eastAsia="en-AU"/>
        </w:rPr>
        <w:t xml:space="preserve">with the Hon Ed Husic MP </w:t>
      </w:r>
      <w:r w:rsidRPr="005C39B1">
        <w:rPr>
          <w:lang w:eastAsia="en-AU"/>
        </w:rPr>
        <w:t>sworn in as Minister for Industry and Science on 1 June 2022. More recently, Meghan Quinn PSM was appointed as the new Secretary of DISR</w:t>
      </w:r>
      <w:r>
        <w:rPr>
          <w:lang w:eastAsia="en-AU"/>
        </w:rPr>
        <w:t>. Her</w:t>
      </w:r>
      <w:r w:rsidRPr="005C39B1">
        <w:rPr>
          <w:lang w:eastAsia="en-AU"/>
        </w:rPr>
        <w:t xml:space="preserve"> five-year appointment commence</w:t>
      </w:r>
      <w:r>
        <w:rPr>
          <w:lang w:eastAsia="en-AU"/>
        </w:rPr>
        <w:t xml:space="preserve">d </w:t>
      </w:r>
      <w:r w:rsidRPr="005C39B1">
        <w:rPr>
          <w:lang w:eastAsia="en-AU"/>
        </w:rPr>
        <w:t>on 22 August 2022. These changes have not impacted the R&amp;DTI’s legislative framework or administration.</w:t>
      </w:r>
    </w:p>
    <w:p w14:paraId="3C4549D9" w14:textId="77777777" w:rsidR="00446150" w:rsidRDefault="00446150" w:rsidP="00566C50">
      <w:pPr>
        <w:pStyle w:val="Heading2"/>
      </w:pPr>
      <w:r>
        <w:t>Advance and overseas findings</w:t>
      </w:r>
    </w:p>
    <w:p w14:paraId="492EE000" w14:textId="77777777" w:rsidR="00446150" w:rsidRDefault="00446150" w:rsidP="00566C50">
      <w:pPr>
        <w:rPr>
          <w:lang w:eastAsia="en-AU"/>
        </w:rPr>
      </w:pPr>
      <w:r>
        <w:rPr>
          <w:lang w:eastAsia="en-AU"/>
        </w:rPr>
        <w:t>Current d</w:t>
      </w:r>
      <w:r w:rsidRPr="00AB1645">
        <w:rPr>
          <w:lang w:eastAsia="en-AU"/>
        </w:rPr>
        <w:t xml:space="preserve">emand for </w:t>
      </w:r>
      <w:r>
        <w:rPr>
          <w:lang w:eastAsia="en-AU"/>
        </w:rPr>
        <w:t>o</w:t>
      </w:r>
      <w:r w:rsidRPr="00AB1645">
        <w:rPr>
          <w:lang w:eastAsia="en-AU"/>
        </w:rPr>
        <w:t xml:space="preserve">verseas </w:t>
      </w:r>
      <w:r>
        <w:rPr>
          <w:lang w:eastAsia="en-AU"/>
        </w:rPr>
        <w:t>f</w:t>
      </w:r>
      <w:r w:rsidRPr="00AB1645">
        <w:rPr>
          <w:lang w:eastAsia="en-AU"/>
        </w:rPr>
        <w:t xml:space="preserve">indings </w:t>
      </w:r>
      <w:r>
        <w:rPr>
          <w:lang w:eastAsia="en-AU"/>
        </w:rPr>
        <w:t xml:space="preserve">remains </w:t>
      </w:r>
      <w:r w:rsidRPr="00AB1645">
        <w:rPr>
          <w:lang w:eastAsia="en-AU"/>
        </w:rPr>
        <w:t>high</w:t>
      </w:r>
      <w:r>
        <w:rPr>
          <w:lang w:eastAsia="en-AU"/>
        </w:rPr>
        <w:t xml:space="preserve"> and is returning to pre-COVID-19 levels. Most overseas finding applications are lodged in the last week of June. This peak means many applicants may wait longer for a finding outcome compared to applications lodged at other times of the year.</w:t>
      </w:r>
    </w:p>
    <w:p w14:paraId="2654357F" w14:textId="77777777" w:rsidR="00446150" w:rsidRDefault="00446150" w:rsidP="00566C50">
      <w:pPr>
        <w:rPr>
          <w:lang w:eastAsia="en-AU"/>
        </w:rPr>
      </w:pPr>
      <w:r w:rsidRPr="00AB1645">
        <w:rPr>
          <w:lang w:eastAsia="en-AU"/>
        </w:rPr>
        <w:t xml:space="preserve">Demand for </w:t>
      </w:r>
      <w:r>
        <w:rPr>
          <w:lang w:eastAsia="en-AU"/>
        </w:rPr>
        <w:t>a</w:t>
      </w:r>
      <w:r w:rsidRPr="00AB1645">
        <w:rPr>
          <w:lang w:eastAsia="en-AU"/>
        </w:rPr>
        <w:t xml:space="preserve">dvance </w:t>
      </w:r>
      <w:r>
        <w:rPr>
          <w:lang w:eastAsia="en-AU"/>
        </w:rPr>
        <w:t>f</w:t>
      </w:r>
      <w:r w:rsidRPr="00AB1645">
        <w:rPr>
          <w:lang w:eastAsia="en-AU"/>
        </w:rPr>
        <w:t xml:space="preserve">indings </w:t>
      </w:r>
      <w:r>
        <w:rPr>
          <w:lang w:eastAsia="en-AU"/>
        </w:rPr>
        <w:t xml:space="preserve">is </w:t>
      </w:r>
      <w:r w:rsidRPr="00AB1645">
        <w:rPr>
          <w:lang w:eastAsia="en-AU"/>
        </w:rPr>
        <w:t>low</w:t>
      </w:r>
      <w:r>
        <w:rPr>
          <w:lang w:eastAsia="en-AU"/>
        </w:rPr>
        <w:t xml:space="preserve"> and </w:t>
      </w:r>
      <w:r w:rsidRPr="37444530">
        <w:rPr>
          <w:lang w:eastAsia="en-AU"/>
        </w:rPr>
        <w:t>represents</w:t>
      </w:r>
      <w:r>
        <w:rPr>
          <w:lang w:eastAsia="en-AU"/>
        </w:rPr>
        <w:t xml:space="preserve"> less than 10% of all advance and overseas finding applications submitted in the 2021/22 financial year. </w:t>
      </w:r>
    </w:p>
    <w:p w14:paraId="07950648" w14:textId="77777777" w:rsidR="00446150" w:rsidRDefault="00446150" w:rsidP="00566C50">
      <w:pPr>
        <w:pStyle w:val="Heading3"/>
      </w:pPr>
      <w:r>
        <w:t>Assessment timelines</w:t>
      </w:r>
    </w:p>
    <w:p w14:paraId="7B1EB405" w14:textId="77777777" w:rsidR="00446150" w:rsidRDefault="00446150" w:rsidP="00566C50">
      <w:pPr>
        <w:rPr>
          <w:lang w:eastAsia="en-AU"/>
        </w:rPr>
      </w:pPr>
      <w:r>
        <w:rPr>
          <w:lang w:eastAsia="en-AU"/>
        </w:rPr>
        <w:t>Advance and overseas findings a</w:t>
      </w:r>
      <w:r w:rsidRPr="00AB1645">
        <w:rPr>
          <w:lang w:eastAsia="en-AU"/>
        </w:rPr>
        <w:t>ss</w:t>
      </w:r>
      <w:r>
        <w:rPr>
          <w:lang w:eastAsia="en-AU"/>
        </w:rPr>
        <w:t>essment timelines have improved over the last year. In 2021-</w:t>
      </w:r>
      <w:r w:rsidRPr="00AB1645">
        <w:rPr>
          <w:lang w:eastAsia="en-AU"/>
        </w:rPr>
        <w:t>22</w:t>
      </w:r>
      <w:r>
        <w:rPr>
          <w:lang w:eastAsia="en-AU"/>
        </w:rPr>
        <w:t>,</w:t>
      </w:r>
      <w:r w:rsidRPr="00AB1645">
        <w:rPr>
          <w:lang w:eastAsia="en-AU"/>
        </w:rPr>
        <w:t xml:space="preserve"> the median time to complete advance and overseas findings </w:t>
      </w:r>
      <w:r>
        <w:rPr>
          <w:lang w:eastAsia="en-AU"/>
        </w:rPr>
        <w:t xml:space="preserve">reduced to </w:t>
      </w:r>
      <w:r w:rsidRPr="00AB1645">
        <w:rPr>
          <w:lang w:eastAsia="en-AU"/>
        </w:rPr>
        <w:t>111 days</w:t>
      </w:r>
      <w:r w:rsidRPr="00B05E1C">
        <w:rPr>
          <w:lang w:eastAsia="en-AU"/>
        </w:rPr>
        <w:t xml:space="preserve"> </w:t>
      </w:r>
      <w:r w:rsidRPr="00AB1645">
        <w:rPr>
          <w:lang w:eastAsia="en-AU"/>
        </w:rPr>
        <w:t>compared to 181 days</w:t>
      </w:r>
      <w:r w:rsidRPr="00B05E1C">
        <w:t xml:space="preserve"> </w:t>
      </w:r>
      <w:r>
        <w:t xml:space="preserve">in </w:t>
      </w:r>
      <w:r w:rsidRPr="00B05E1C">
        <w:rPr>
          <w:lang w:eastAsia="en-AU"/>
        </w:rPr>
        <w:t>2020-21</w:t>
      </w:r>
      <w:r w:rsidRPr="00AB1645">
        <w:rPr>
          <w:lang w:eastAsia="en-AU"/>
        </w:rPr>
        <w:t xml:space="preserve">. </w:t>
      </w:r>
      <w:r>
        <w:rPr>
          <w:lang w:eastAsia="en-AU"/>
        </w:rPr>
        <w:t>This 30% improvement in completion times will be enhanced further by refined assessment and customer engagement processes along with surge capacity provided by an external delivery partner, Proximity Advisory Services.</w:t>
      </w:r>
    </w:p>
    <w:p w14:paraId="63ED2909" w14:textId="24387FED" w:rsidR="00446150" w:rsidRPr="00AB1645" w:rsidRDefault="00446150" w:rsidP="00566C50">
      <w:pPr>
        <w:rPr>
          <w:lang w:eastAsia="en-AU"/>
        </w:rPr>
      </w:pPr>
      <w:r>
        <w:rPr>
          <w:lang w:eastAsia="en-AU"/>
        </w:rPr>
        <w:t xml:space="preserve">Applicants for advance and overseas findings can also help to streamline the assessment of their application by attaching relevant samples of evidence to their applications. </w:t>
      </w:r>
      <w:r w:rsidRPr="00AB1645">
        <w:rPr>
          <w:lang w:eastAsia="en-AU"/>
        </w:rPr>
        <w:t xml:space="preserve"> </w:t>
      </w:r>
    </w:p>
    <w:p w14:paraId="1C4C3CFA" w14:textId="77777777" w:rsidR="00446150" w:rsidRDefault="00446150" w:rsidP="00566C50">
      <w:pPr>
        <w:pStyle w:val="Heading3"/>
      </w:pPr>
      <w:r>
        <w:lastRenderedPageBreak/>
        <w:t>Feedback request</w:t>
      </w:r>
    </w:p>
    <w:p w14:paraId="33CBFC37" w14:textId="77777777" w:rsidR="00446150" w:rsidRPr="00D20AD8" w:rsidRDefault="00446150" w:rsidP="00566C50">
      <w:r>
        <w:rPr>
          <w:lang w:eastAsia="en-AU"/>
        </w:rPr>
        <w:t xml:space="preserve">AusIndustry is seeking to better understand the low rate of advanced finding applications given the frequent demand for certainty made by program users. Your comments can be shared during the forum or sent to </w:t>
      </w:r>
      <w:hyperlink r:id="rId16" w:history="1">
        <w:r w:rsidRPr="007524AE">
          <w:rPr>
            <w:rStyle w:val="Hyperlink"/>
            <w:lang w:eastAsia="en-AU"/>
          </w:rPr>
          <w:t>rdti.engagement@industry.gov.au</w:t>
        </w:r>
      </w:hyperlink>
      <w:r>
        <w:rPr>
          <w:lang w:eastAsia="en-AU"/>
        </w:rPr>
        <w:t>.</w:t>
      </w:r>
    </w:p>
    <w:p w14:paraId="3397A911" w14:textId="77777777" w:rsidR="00446150" w:rsidRDefault="00446150" w:rsidP="00566C50">
      <w:pPr>
        <w:pStyle w:val="Heading2"/>
      </w:pPr>
      <w:r>
        <w:t xml:space="preserve">Program guidance </w:t>
      </w:r>
    </w:p>
    <w:p w14:paraId="5C3DB7E8" w14:textId="77777777" w:rsidR="00446150" w:rsidRDefault="00446150" w:rsidP="00566C50">
      <w:pPr>
        <w:pStyle w:val="Heading3"/>
      </w:pPr>
      <w:r>
        <w:t>Information sessions</w:t>
      </w:r>
    </w:p>
    <w:p w14:paraId="46C52B1A" w14:textId="77777777" w:rsidR="00446150" w:rsidRPr="00107347" w:rsidRDefault="00446150" w:rsidP="00566C50">
      <w:r>
        <w:t xml:space="preserve">Online information sessions are regularly offered to explain program requirements and assist companies to self-assess their R&amp;D activities. A new </w:t>
      </w:r>
      <w:r w:rsidRPr="37444530">
        <w:t>webinar</w:t>
      </w:r>
      <w:r>
        <w:t xml:space="preserve"> is now available to provide guidance on requirements for both activities and related expenditure, together with information on</w:t>
      </w:r>
      <w:r w:rsidRPr="00192070">
        <w:t xml:space="preserve"> how and when to apply</w:t>
      </w:r>
      <w:r>
        <w:t>,</w:t>
      </w:r>
      <w:r w:rsidRPr="00192070">
        <w:t xml:space="preserve"> and advice on record-keeping</w:t>
      </w:r>
      <w:r>
        <w:t xml:space="preserve">. The webinar is jointly delivered by AusIndustry and the ATO and directed to entities that </w:t>
      </w:r>
      <w:r w:rsidRPr="37444530">
        <w:t>are new to the program</w:t>
      </w:r>
      <w:r>
        <w:t>.</w:t>
      </w:r>
    </w:p>
    <w:p w14:paraId="15136CE6" w14:textId="77777777" w:rsidR="00446150" w:rsidRPr="00883A12" w:rsidRDefault="00446150" w:rsidP="00566C50">
      <w:r w:rsidRPr="37444530">
        <w:t xml:space="preserve">The first session on 20 July </w:t>
      </w:r>
      <w:r>
        <w:t xml:space="preserve">proved popular with </w:t>
      </w:r>
      <w:r w:rsidRPr="37444530">
        <w:t>1</w:t>
      </w:r>
      <w:r>
        <w:t>80</w:t>
      </w:r>
      <w:r w:rsidRPr="37444530">
        <w:t xml:space="preserve"> participants</w:t>
      </w:r>
      <w:r>
        <w:t>, of which a third had n</w:t>
      </w:r>
      <w:r w:rsidRPr="37444530">
        <w:t xml:space="preserve">ever </w:t>
      </w:r>
      <w:r>
        <w:t xml:space="preserve">previously </w:t>
      </w:r>
      <w:r w:rsidRPr="37444530">
        <w:t xml:space="preserve">applied for the </w:t>
      </w:r>
      <w:r w:rsidRPr="00883A12">
        <w:t>R&amp;DTI.</w:t>
      </w:r>
      <w:r w:rsidRPr="006E0291">
        <w:t xml:space="preserve"> </w:t>
      </w:r>
      <w:r w:rsidRPr="00883A12">
        <w:t xml:space="preserve">Additional sessions </w:t>
      </w:r>
      <w:r w:rsidRPr="00EF5889">
        <w:t xml:space="preserve">are </w:t>
      </w:r>
      <w:r w:rsidRPr="00751D14">
        <w:t xml:space="preserve">scheduled for </w:t>
      </w:r>
      <w:hyperlink r:id="rId17">
        <w:r w:rsidRPr="00751D14">
          <w:rPr>
            <w:rStyle w:val="Hyperlink"/>
          </w:rPr>
          <w:t>Tuesday, 18th October</w:t>
        </w:r>
      </w:hyperlink>
      <w:r w:rsidRPr="00883A12">
        <w:t xml:space="preserve"> and </w:t>
      </w:r>
      <w:hyperlink r:id="rId18">
        <w:r w:rsidRPr="00751D14">
          <w:rPr>
            <w:rStyle w:val="Hyperlink"/>
          </w:rPr>
          <w:t>Wednesday, 23rd November</w:t>
        </w:r>
      </w:hyperlink>
      <w:r w:rsidRPr="00883A12">
        <w:t>.</w:t>
      </w:r>
      <w:r>
        <w:t xml:space="preserve"> All information sessions are listed on </w:t>
      </w:r>
      <w:hyperlink r:id="rId19" w:history="1">
        <w:r w:rsidRPr="00BE79B1">
          <w:rPr>
            <w:rStyle w:val="Hyperlink"/>
          </w:rPr>
          <w:t>business.gov.au/rdti</w:t>
        </w:r>
      </w:hyperlink>
      <w:r>
        <w:t>.</w:t>
      </w:r>
    </w:p>
    <w:p w14:paraId="25456EFA" w14:textId="77777777" w:rsidR="00446150" w:rsidRDefault="00446150" w:rsidP="00566C50">
      <w:pPr>
        <w:pStyle w:val="Heading3"/>
      </w:pPr>
      <w:r>
        <w:t>Guide to interpretation video</w:t>
      </w:r>
    </w:p>
    <w:p w14:paraId="73BF21DE" w14:textId="77777777" w:rsidR="00446150" w:rsidRPr="00751D14" w:rsidRDefault="00446150" w:rsidP="00566C50">
      <w:pPr>
        <w:rPr>
          <w:color w:val="auto"/>
        </w:rPr>
      </w:pPr>
      <w:r>
        <w:rPr>
          <w:color w:val="auto"/>
        </w:rPr>
        <w:t xml:space="preserve">A </w:t>
      </w:r>
      <w:r w:rsidRPr="37444530">
        <w:rPr>
          <w:color w:val="auto"/>
        </w:rPr>
        <w:t xml:space="preserve">video version of the </w:t>
      </w:r>
      <w:r w:rsidRPr="009E684A">
        <w:rPr>
          <w:i/>
          <w:color w:val="auto"/>
        </w:rPr>
        <w:t>Guide to Interpretation</w:t>
      </w:r>
      <w:r w:rsidRPr="37444530">
        <w:rPr>
          <w:color w:val="auto"/>
        </w:rPr>
        <w:t xml:space="preserve"> </w:t>
      </w:r>
      <w:r>
        <w:rPr>
          <w:color w:val="auto"/>
        </w:rPr>
        <w:t>i</w:t>
      </w:r>
      <w:r w:rsidRPr="37444530">
        <w:rPr>
          <w:color w:val="auto"/>
        </w:rPr>
        <w:t xml:space="preserve">s now available at </w:t>
      </w:r>
      <w:hyperlink r:id="rId20">
        <w:r w:rsidRPr="00751D14">
          <w:rPr>
            <w:rStyle w:val="Hyperlink"/>
          </w:rPr>
          <w:t>business.gov.au/rdti</w:t>
        </w:r>
      </w:hyperlink>
      <w:r>
        <w:rPr>
          <w:color w:val="auto"/>
        </w:rPr>
        <w:t xml:space="preserve"> in conjunction with downloadable versions in written format. </w:t>
      </w:r>
      <w:r w:rsidRPr="37444530">
        <w:rPr>
          <w:color w:val="auto"/>
        </w:rPr>
        <w:t xml:space="preserve">This video </w:t>
      </w:r>
      <w:r>
        <w:rPr>
          <w:color w:val="auto"/>
        </w:rPr>
        <w:t>covers the same content with</w:t>
      </w:r>
      <w:r w:rsidRPr="37444530">
        <w:rPr>
          <w:color w:val="auto"/>
        </w:rPr>
        <w:t xml:space="preserve"> some helpful tips on record keeping</w:t>
      </w:r>
      <w:r>
        <w:rPr>
          <w:color w:val="auto"/>
        </w:rPr>
        <w:t xml:space="preserve"> and common errors.</w:t>
      </w:r>
    </w:p>
    <w:p w14:paraId="06833292" w14:textId="77777777" w:rsidR="00446150" w:rsidRDefault="00446150" w:rsidP="00566C50">
      <w:pPr>
        <w:pStyle w:val="Heading3"/>
      </w:pPr>
      <w:r>
        <w:t>Website updates</w:t>
      </w:r>
    </w:p>
    <w:p w14:paraId="7237B452" w14:textId="77777777" w:rsidR="00446150" w:rsidRDefault="00446150" w:rsidP="00566C50">
      <w:r>
        <w:t xml:space="preserve">You can keep up with </w:t>
      </w:r>
      <w:r w:rsidRPr="37444530">
        <w:t xml:space="preserve">major changes to </w:t>
      </w:r>
      <w:r>
        <w:t xml:space="preserve">R&amp;DTI website content at </w:t>
      </w:r>
      <w:r w:rsidRPr="37444530">
        <w:t xml:space="preserve">business.gov.au/rdti </w:t>
      </w:r>
      <w:r>
        <w:t>by visiting this p</w:t>
      </w:r>
      <w:r w:rsidRPr="37444530">
        <w:t>age</w:t>
      </w:r>
      <w:r>
        <w:t>:</w:t>
      </w:r>
      <w:r w:rsidRPr="37444530">
        <w:t xml:space="preserve"> </w:t>
      </w:r>
      <w:hyperlink r:id="rId21">
        <w:r w:rsidRPr="00751D14">
          <w:rPr>
            <w:rStyle w:val="Hyperlink"/>
          </w:rPr>
          <w:t>latest updates to the R&amp;D Tax Incentive content</w:t>
        </w:r>
      </w:hyperlink>
      <w:r w:rsidRPr="00883A12">
        <w:t xml:space="preserve">. </w:t>
      </w:r>
      <w:r>
        <w:t xml:space="preserve">We recommend that you regularly </w:t>
      </w:r>
      <w:r w:rsidRPr="00883A12">
        <w:t xml:space="preserve">check this page </w:t>
      </w:r>
      <w:r w:rsidRPr="006E0291">
        <w:t xml:space="preserve">to ensure </w:t>
      </w:r>
      <w:r w:rsidRPr="00EF5889">
        <w:t>any c</w:t>
      </w:r>
      <w:r w:rsidRPr="37444530">
        <w:t xml:space="preserve">ontent you </w:t>
      </w:r>
      <w:r>
        <w:t xml:space="preserve">reference </w:t>
      </w:r>
      <w:r w:rsidRPr="37444530">
        <w:t xml:space="preserve">on your website </w:t>
      </w:r>
      <w:r>
        <w:t xml:space="preserve">is </w:t>
      </w:r>
      <w:r w:rsidRPr="37444530">
        <w:t xml:space="preserve">up to date.  </w:t>
      </w:r>
    </w:p>
    <w:p w14:paraId="5E0DB136" w14:textId="77777777" w:rsidR="00446150" w:rsidRDefault="00446150" w:rsidP="00566C50">
      <w:pPr>
        <w:pStyle w:val="Heading2"/>
      </w:pPr>
      <w:r>
        <w:t>Determinations</w:t>
      </w:r>
    </w:p>
    <w:p w14:paraId="4E545589" w14:textId="77777777" w:rsidR="00446150" w:rsidRDefault="00446150" w:rsidP="00566C50">
      <w:pPr>
        <w:pStyle w:val="ListParagraph"/>
        <w:ind w:left="0"/>
        <w:rPr>
          <w:rStyle w:val="Heading3Char"/>
        </w:rPr>
      </w:pPr>
      <w:r w:rsidRPr="00987660">
        <w:rPr>
          <w:rStyle w:val="Heading3Char"/>
        </w:rPr>
        <w:t>Industry Research and Development (Clinical Trials) Determination 2022</w:t>
      </w:r>
    </w:p>
    <w:p w14:paraId="14623859" w14:textId="77777777" w:rsidR="00446150" w:rsidRDefault="00446150" w:rsidP="00566C50">
      <w:r w:rsidRPr="37444530">
        <w:t xml:space="preserve">The </w:t>
      </w:r>
      <w:hyperlink r:id="rId22">
        <w:r w:rsidRPr="00751D14">
          <w:rPr>
            <w:rStyle w:val="Hyperlink"/>
            <w:szCs w:val="22"/>
          </w:rPr>
          <w:t>Industry Research and Development (Clinical Trials) Determination 2022</w:t>
        </w:r>
      </w:hyperlink>
      <w:r w:rsidRPr="37444530">
        <w:t xml:space="preserve"> came into effect on 1 April 2022 </w:t>
      </w:r>
      <w:r>
        <w:t xml:space="preserve">under </w:t>
      </w:r>
      <w:r w:rsidRPr="37444530">
        <w:t xml:space="preserve">the </w:t>
      </w:r>
      <w:r>
        <w:t xml:space="preserve">title </w:t>
      </w:r>
      <w:r w:rsidRPr="009E684A">
        <w:rPr>
          <w:i/>
        </w:rPr>
        <w:t>Industry Research and Development (clinical trials, Phase 0, I, II, III, pre-market pilot stage, pre-market pivotal stage, for an unapproved therapeutic good) Determination 2022</w:t>
      </w:r>
      <w:r w:rsidRPr="37444530">
        <w:t>. Th</w:t>
      </w:r>
      <w:r>
        <w:t>is</w:t>
      </w:r>
      <w:r w:rsidRPr="37444530">
        <w:t xml:space="preserve"> determination offers certainty that phase 0, I, II III, pre-market pilot stage and/or pre-market pivotal stage clinical trials for unapproved therapeutic goods are ‘core R&amp;D activities</w:t>
      </w:r>
      <w:r>
        <w:t>’</w:t>
      </w:r>
      <w:r w:rsidRPr="37444530">
        <w:t>.</w:t>
      </w:r>
    </w:p>
    <w:p w14:paraId="17185E10" w14:textId="77777777" w:rsidR="00446150" w:rsidRDefault="00446150" w:rsidP="00566C50">
      <w:r w:rsidRPr="00C85689">
        <w:t xml:space="preserve">The determination has received a very positive response </w:t>
      </w:r>
      <w:r>
        <w:t>from companies and stakeholders as i</w:t>
      </w:r>
      <w:r w:rsidRPr="37444530">
        <w:t xml:space="preserve">t </w:t>
      </w:r>
      <w:r>
        <w:t>decreases the</w:t>
      </w:r>
      <w:r w:rsidRPr="37444530">
        <w:t xml:space="preserve"> application </w:t>
      </w:r>
      <w:r>
        <w:t xml:space="preserve">time </w:t>
      </w:r>
      <w:r w:rsidRPr="37444530">
        <w:t>for certain clinical trials</w:t>
      </w:r>
      <w:r>
        <w:t xml:space="preserve"> and enhances the ability to engage in cutting-edge R&amp;D with certainty that the activities meet eligibility requirements. Similarly, reduced complexity has streamlined assessments and reduced processing times for program administrators. In one </w:t>
      </w:r>
      <w:r w:rsidRPr="00D05896">
        <w:t xml:space="preserve">instance, </w:t>
      </w:r>
      <w:r>
        <w:t xml:space="preserve">a company that relied on the </w:t>
      </w:r>
      <w:r w:rsidRPr="00D05896">
        <w:t xml:space="preserve">clinical trials determination </w:t>
      </w:r>
      <w:r>
        <w:t xml:space="preserve">for 35 core R&amp;D activities was processed </w:t>
      </w:r>
      <w:r w:rsidRPr="00D05896">
        <w:t xml:space="preserve">in </w:t>
      </w:r>
      <w:r>
        <w:t xml:space="preserve">only </w:t>
      </w:r>
      <w:r w:rsidRPr="00D05896">
        <w:t>fifteen minutes</w:t>
      </w:r>
      <w:r>
        <w:t>.</w:t>
      </w:r>
    </w:p>
    <w:p w14:paraId="1CDD5A57" w14:textId="77777777" w:rsidR="00446150" w:rsidRPr="003F2A05" w:rsidRDefault="00446150" w:rsidP="00566C50">
      <w:r w:rsidRPr="37444530">
        <w:t xml:space="preserve">The release of the determination was accompanied by </w:t>
      </w:r>
      <w:hyperlink r:id="rId23">
        <w:r w:rsidRPr="00751D14">
          <w:rPr>
            <w:rStyle w:val="Hyperlink"/>
            <w:szCs w:val="22"/>
          </w:rPr>
          <w:t>guidance on how to apply the determination</w:t>
        </w:r>
      </w:hyperlink>
      <w:r w:rsidRPr="37444530">
        <w:t xml:space="preserve"> </w:t>
      </w:r>
      <w:r>
        <w:t xml:space="preserve">to assist companies </w:t>
      </w:r>
      <w:r w:rsidRPr="37444530">
        <w:t xml:space="preserve">when registering for the program and/or </w:t>
      </w:r>
      <w:r>
        <w:t xml:space="preserve">applying for </w:t>
      </w:r>
      <w:r w:rsidRPr="37444530">
        <w:t xml:space="preserve">an Advance or Overseas Finding. The </w:t>
      </w:r>
      <w:hyperlink r:id="rId24">
        <w:r w:rsidRPr="000E7845">
          <w:rPr>
            <w:rStyle w:val="Hyperlink"/>
          </w:rPr>
          <w:t>business.gov.au/rdti</w:t>
        </w:r>
      </w:hyperlink>
      <w:r w:rsidRPr="37444530">
        <w:t xml:space="preserve"> website </w:t>
      </w:r>
      <w:r>
        <w:t>provides</w:t>
      </w:r>
      <w:r w:rsidRPr="37444530">
        <w:t xml:space="preserve"> the primary reference point for up to date information and guidance.</w:t>
      </w:r>
    </w:p>
    <w:p w14:paraId="72DF7CDE" w14:textId="77777777" w:rsidR="00446150" w:rsidRPr="003F2A05" w:rsidRDefault="00446150" w:rsidP="00566C50">
      <w:r>
        <w:lastRenderedPageBreak/>
        <w:t>AusIndustry</w:t>
      </w:r>
      <w:r w:rsidRPr="37444530">
        <w:t xml:space="preserve"> is </w:t>
      </w:r>
      <w:r>
        <w:t xml:space="preserve">working to </w:t>
      </w:r>
      <w:r w:rsidRPr="37444530">
        <w:t xml:space="preserve">develop </w:t>
      </w:r>
      <w:r>
        <w:t>future</w:t>
      </w:r>
      <w:r w:rsidRPr="37444530">
        <w:t xml:space="preserve"> determinations. R</w:t>
      </w:r>
      <w:r>
        <w:t>&amp;</w:t>
      </w:r>
      <w:r w:rsidRPr="37444530">
        <w:t>DTI determinations made by AusIndustry differ from ATO determinations.</w:t>
      </w:r>
      <w:r>
        <w:t xml:space="preserve"> The latter are binding on the Commissioner of Taxation, while R&amp;DTI determinations are binding on the Industry Innovation Science Australia Board and its delegates.</w:t>
      </w:r>
    </w:p>
    <w:p w14:paraId="02C63282" w14:textId="77777777" w:rsidR="00446150" w:rsidRDefault="00446150">
      <w:pPr>
        <w:rPr>
          <w:rFonts w:asciiTheme="majorHAnsi" w:eastAsiaTheme="majorEastAsia" w:hAnsiTheme="majorHAnsi" w:cstheme="majorBidi"/>
          <w:b/>
          <w:color w:val="212A4C" w:themeColor="text2"/>
          <w:sz w:val="28"/>
          <w:szCs w:val="26"/>
        </w:rPr>
      </w:pPr>
      <w:r>
        <w:t>Feedback on the clinical determination and suggestions</w:t>
      </w:r>
      <w:r w:rsidRPr="37444530">
        <w:t xml:space="preserve"> for new determinations </w:t>
      </w:r>
      <w:r>
        <w:t xml:space="preserve">can be forwarded to </w:t>
      </w:r>
      <w:hyperlink r:id="rId25" w:history="1">
        <w:r w:rsidRPr="00751D14">
          <w:rPr>
            <w:rStyle w:val="Hyperlink"/>
          </w:rPr>
          <w:t>rdti.engagement@industry.gov.au</w:t>
        </w:r>
      </w:hyperlink>
      <w:r w:rsidRPr="006E0291">
        <w:t xml:space="preserve">. </w:t>
      </w:r>
    </w:p>
    <w:p w14:paraId="088C6166" w14:textId="77777777" w:rsidR="00446150" w:rsidRDefault="00446150" w:rsidP="00566C50">
      <w:pPr>
        <w:pStyle w:val="Heading2"/>
      </w:pPr>
      <w:r>
        <w:t>Registrations update</w:t>
      </w:r>
    </w:p>
    <w:p w14:paraId="0C813411" w14:textId="77777777" w:rsidR="00446150" w:rsidRDefault="00446150" w:rsidP="00566C50">
      <w:pPr>
        <w:pStyle w:val="Heading3"/>
        <w:rPr>
          <w:lang w:eastAsia="en-AU"/>
        </w:rPr>
      </w:pPr>
      <w:r>
        <w:rPr>
          <w:lang w:eastAsia="en-AU"/>
        </w:rPr>
        <w:t>Customer portal</w:t>
      </w:r>
    </w:p>
    <w:p w14:paraId="53B72883" w14:textId="77777777" w:rsidR="00446150" w:rsidRPr="00DF51B1" w:rsidRDefault="00446150" w:rsidP="00566C50">
      <w:pPr>
        <w:pStyle w:val="Heading5"/>
        <w:rPr>
          <w:i w:val="0"/>
        </w:rPr>
      </w:pPr>
      <w:r w:rsidRPr="00DF51B1">
        <w:rPr>
          <w:i w:val="0"/>
        </w:rPr>
        <w:t xml:space="preserve">3 May registration deadline </w:t>
      </w:r>
    </w:p>
    <w:p w14:paraId="349A0AF3" w14:textId="77777777" w:rsidR="00446150" w:rsidRDefault="00446150" w:rsidP="00566C50">
      <w:pPr>
        <w:rPr>
          <w:rFonts w:eastAsia="Calibri"/>
          <w:lang w:eastAsia="en-US"/>
        </w:rPr>
      </w:pPr>
      <w:r w:rsidRPr="008E529D">
        <w:t xml:space="preserve">The registration deadline on 3 May 2022 for companies with an income year </w:t>
      </w:r>
      <w:r>
        <w:t xml:space="preserve">that </w:t>
      </w:r>
      <w:r w:rsidRPr="008E529D">
        <w:t>end</w:t>
      </w:r>
      <w:r>
        <w:t>ed</w:t>
      </w:r>
      <w:r w:rsidRPr="008E529D">
        <w:t xml:space="preserve"> </w:t>
      </w:r>
      <w:r>
        <w:t xml:space="preserve">on </w:t>
      </w:r>
      <w:r w:rsidRPr="008E529D">
        <w:t>30 June 2021</w:t>
      </w:r>
      <w:r>
        <w:t xml:space="preserve"> was a </w:t>
      </w:r>
      <w:r w:rsidRPr="008E529D">
        <w:t xml:space="preserve">peak </w:t>
      </w:r>
      <w:r>
        <w:t>lodgement date</w:t>
      </w:r>
      <w:r w:rsidRPr="008E529D">
        <w:t xml:space="preserve"> </w:t>
      </w:r>
      <w:r>
        <w:t xml:space="preserve">and the first to occur </w:t>
      </w:r>
      <w:r w:rsidRPr="008E529D">
        <w:t>since the introd</w:t>
      </w:r>
      <w:r w:rsidRPr="008E529D">
        <w:rPr>
          <w:rFonts w:eastAsia="Calibri"/>
          <w:lang w:eastAsia="en-US"/>
        </w:rPr>
        <w:t>uction of the customer portal</w:t>
      </w:r>
      <w:r>
        <w:rPr>
          <w:rFonts w:eastAsia="Calibri"/>
          <w:lang w:eastAsia="en-US"/>
        </w:rPr>
        <w:t xml:space="preserve"> on 5 July 2021.</w:t>
      </w:r>
      <w:r w:rsidRPr="008E529D">
        <w:rPr>
          <w:rFonts w:eastAsia="Calibri"/>
          <w:lang w:eastAsia="en-US"/>
        </w:rPr>
        <w:t xml:space="preserve"> The portal handled the </w:t>
      </w:r>
      <w:r>
        <w:rPr>
          <w:rFonts w:eastAsia="Calibri"/>
          <w:lang w:eastAsia="en-US"/>
        </w:rPr>
        <w:t xml:space="preserve">increased demand as anticipated. On-going </w:t>
      </w:r>
      <w:r w:rsidRPr="008E529D">
        <w:rPr>
          <w:rFonts w:eastAsia="Calibri"/>
          <w:lang w:eastAsia="en-US"/>
        </w:rPr>
        <w:t>monitor</w:t>
      </w:r>
      <w:r>
        <w:rPr>
          <w:rFonts w:eastAsia="Calibri"/>
          <w:lang w:eastAsia="en-US"/>
        </w:rPr>
        <w:t>ing</w:t>
      </w:r>
      <w:r w:rsidRPr="008E529D">
        <w:rPr>
          <w:rFonts w:eastAsia="Calibri"/>
          <w:lang w:eastAsia="en-US"/>
        </w:rPr>
        <w:t xml:space="preserve"> ensure</w:t>
      </w:r>
      <w:r>
        <w:rPr>
          <w:rFonts w:eastAsia="Calibri"/>
          <w:lang w:eastAsia="en-US"/>
        </w:rPr>
        <w:t>s</w:t>
      </w:r>
      <w:r w:rsidRPr="008E529D">
        <w:rPr>
          <w:rFonts w:eastAsia="Calibri"/>
          <w:lang w:eastAsia="en-US"/>
        </w:rPr>
        <w:t xml:space="preserve"> </w:t>
      </w:r>
      <w:r>
        <w:rPr>
          <w:rFonts w:eastAsia="Calibri"/>
          <w:lang w:eastAsia="en-US"/>
        </w:rPr>
        <w:t xml:space="preserve">the portal is </w:t>
      </w:r>
      <w:r w:rsidRPr="008E529D">
        <w:rPr>
          <w:rFonts w:eastAsia="Calibri"/>
          <w:lang w:eastAsia="en-US"/>
        </w:rPr>
        <w:t>meet</w:t>
      </w:r>
      <w:r>
        <w:rPr>
          <w:rFonts w:eastAsia="Calibri"/>
          <w:lang w:eastAsia="en-US"/>
        </w:rPr>
        <w:t>ing</w:t>
      </w:r>
      <w:r w:rsidRPr="008E529D">
        <w:rPr>
          <w:rFonts w:eastAsia="Calibri"/>
          <w:lang w:eastAsia="en-US"/>
        </w:rPr>
        <w:t xml:space="preserve"> customer demands.</w:t>
      </w:r>
    </w:p>
    <w:p w14:paraId="14A2EBAA" w14:textId="77777777" w:rsidR="00446150" w:rsidRDefault="00446150" w:rsidP="00566C50">
      <w:pPr>
        <w:rPr>
          <w:rFonts w:eastAsia="Calibri"/>
          <w:lang w:eastAsia="en-US"/>
        </w:rPr>
      </w:pPr>
      <w:r>
        <w:rPr>
          <w:rFonts w:eastAsia="Calibri"/>
          <w:lang w:eastAsia="en-US"/>
        </w:rPr>
        <w:t>O</w:t>
      </w:r>
      <w:r w:rsidRPr="008E529D">
        <w:rPr>
          <w:rFonts w:eastAsia="Calibri"/>
          <w:lang w:eastAsia="en-US"/>
        </w:rPr>
        <w:t>ver 13,000 applications have been submitted and processed</w:t>
      </w:r>
      <w:r>
        <w:rPr>
          <w:rFonts w:eastAsia="Calibri"/>
          <w:lang w:eastAsia="en-US"/>
        </w:rPr>
        <w:t xml:space="preserve"> through the customer portal since it was launched.</w:t>
      </w:r>
    </w:p>
    <w:p w14:paraId="49379500" w14:textId="77777777" w:rsidR="00446150" w:rsidRPr="00DF51B1" w:rsidRDefault="00446150" w:rsidP="00566C50">
      <w:pPr>
        <w:pStyle w:val="Heading5"/>
        <w:rPr>
          <w:i w:val="0"/>
          <w:highlight w:val="yellow"/>
          <w:lang w:eastAsia="en-US"/>
        </w:rPr>
      </w:pPr>
      <w:r w:rsidRPr="00DF51B1">
        <w:rPr>
          <w:i w:val="0"/>
          <w:lang w:eastAsia="en-US"/>
        </w:rPr>
        <w:t>System updates</w:t>
      </w:r>
    </w:p>
    <w:p w14:paraId="745BFC56" w14:textId="77777777" w:rsidR="00446150" w:rsidRPr="003B745F" w:rsidRDefault="00446150" w:rsidP="00566C50">
      <w:pPr>
        <w:rPr>
          <w:lang w:eastAsia="en-AU"/>
        </w:rPr>
      </w:pPr>
      <w:r w:rsidRPr="003B745F">
        <w:rPr>
          <w:lang w:eastAsia="en-AU"/>
        </w:rPr>
        <w:t xml:space="preserve">On 29 June 2022 minor updates were made to the </w:t>
      </w:r>
      <w:r>
        <w:rPr>
          <w:lang w:eastAsia="en-AU"/>
        </w:rPr>
        <w:t>c</w:t>
      </w:r>
      <w:r w:rsidRPr="003B745F">
        <w:rPr>
          <w:lang w:eastAsia="en-AU"/>
        </w:rPr>
        <w:t xml:space="preserve">ustomer </w:t>
      </w:r>
      <w:r>
        <w:rPr>
          <w:lang w:eastAsia="en-AU"/>
        </w:rPr>
        <w:t>p</w:t>
      </w:r>
      <w:r w:rsidRPr="003B745F">
        <w:rPr>
          <w:lang w:eastAsia="en-AU"/>
        </w:rPr>
        <w:t>ortal</w:t>
      </w:r>
      <w:r>
        <w:rPr>
          <w:lang w:eastAsia="en-AU"/>
        </w:rPr>
        <w:t xml:space="preserve"> enabling the </w:t>
      </w:r>
      <w:r w:rsidRPr="003B745F">
        <w:rPr>
          <w:lang w:eastAsia="en-AU"/>
        </w:rPr>
        <w:t>following changes:</w:t>
      </w:r>
    </w:p>
    <w:p w14:paraId="07EC5932" w14:textId="77777777" w:rsidR="00446150" w:rsidRPr="003B745F" w:rsidRDefault="00446150" w:rsidP="00446150">
      <w:pPr>
        <w:pStyle w:val="Bullet1"/>
        <w:numPr>
          <w:ilvl w:val="0"/>
          <w:numId w:val="10"/>
        </w:numPr>
        <w:ind w:left="284" w:hanging="284"/>
        <w:rPr>
          <w:lang w:eastAsia="en-AU"/>
        </w:rPr>
      </w:pPr>
      <w:r w:rsidRPr="00751D14">
        <w:rPr>
          <w:i/>
          <w:lang w:eastAsia="en-AU"/>
        </w:rPr>
        <w:t>Incorporation of the newly introduced ‘Digital Identity’ as part of the login process</w:t>
      </w:r>
      <w:r w:rsidRPr="003B745F">
        <w:rPr>
          <w:lang w:eastAsia="en-AU"/>
        </w:rPr>
        <w:t xml:space="preserve">. </w:t>
      </w:r>
      <w:r>
        <w:rPr>
          <w:lang w:eastAsia="en-AU"/>
        </w:rPr>
        <w:t xml:space="preserve">Digital Identity </w:t>
      </w:r>
      <w:r w:rsidRPr="003B745F">
        <w:rPr>
          <w:lang w:eastAsia="en-AU"/>
        </w:rPr>
        <w:t xml:space="preserve">is </w:t>
      </w:r>
      <w:r>
        <w:rPr>
          <w:lang w:eastAsia="en-AU"/>
        </w:rPr>
        <w:t xml:space="preserve">a government service which </w:t>
      </w:r>
      <w:r w:rsidRPr="003B745F">
        <w:rPr>
          <w:lang w:eastAsia="en-AU"/>
        </w:rPr>
        <w:t xml:space="preserve">currently includes myGovID as the only </w:t>
      </w:r>
      <w:r>
        <w:rPr>
          <w:lang w:eastAsia="en-AU"/>
        </w:rPr>
        <w:t xml:space="preserve">identity verification </w:t>
      </w:r>
      <w:r w:rsidRPr="003B745F">
        <w:rPr>
          <w:lang w:eastAsia="en-AU"/>
        </w:rPr>
        <w:t>service but paves the way for alternatives</w:t>
      </w:r>
      <w:r>
        <w:rPr>
          <w:lang w:eastAsia="en-AU"/>
        </w:rPr>
        <w:t xml:space="preserve"> in the future</w:t>
      </w:r>
      <w:r w:rsidRPr="003B745F">
        <w:rPr>
          <w:lang w:eastAsia="en-AU"/>
        </w:rPr>
        <w:t xml:space="preserve">. Further information about Digital Identity can be found at </w:t>
      </w:r>
      <w:hyperlink r:id="rId26" w:history="1">
        <w:r w:rsidRPr="003B745F">
          <w:rPr>
            <w:rStyle w:val="Hyperlink"/>
            <w:lang w:eastAsia="en-AU"/>
          </w:rPr>
          <w:t>https://www.digitalidentity.gov.au/</w:t>
        </w:r>
      </w:hyperlink>
      <w:r w:rsidRPr="003B745F">
        <w:rPr>
          <w:lang w:eastAsia="en-AU"/>
        </w:rPr>
        <w:t>.</w:t>
      </w:r>
    </w:p>
    <w:p w14:paraId="112680A6" w14:textId="77777777" w:rsidR="00446150" w:rsidRPr="003B745F" w:rsidRDefault="00446150" w:rsidP="00446150">
      <w:pPr>
        <w:pStyle w:val="Bullet1"/>
        <w:numPr>
          <w:ilvl w:val="0"/>
          <w:numId w:val="10"/>
        </w:numPr>
        <w:ind w:left="284" w:hanging="284"/>
        <w:rPr>
          <w:lang w:eastAsia="en-AU"/>
        </w:rPr>
      </w:pPr>
      <w:r>
        <w:rPr>
          <w:i/>
          <w:lang w:eastAsia="en-AU"/>
        </w:rPr>
        <w:t>Transition to t</w:t>
      </w:r>
      <w:r w:rsidRPr="00820EBC">
        <w:rPr>
          <w:i/>
          <w:lang w:eastAsia="en-AU"/>
        </w:rPr>
        <w:t xml:space="preserve">he 2020 </w:t>
      </w:r>
      <w:r w:rsidRPr="00820EBC">
        <w:rPr>
          <w:i/>
        </w:rPr>
        <w:t xml:space="preserve">Australian and New Zealand Standard Research Classification </w:t>
      </w:r>
      <w:r>
        <w:rPr>
          <w:i/>
        </w:rPr>
        <w:t>(ANZSRC) codes</w:t>
      </w:r>
      <w:r w:rsidRPr="003B745F">
        <w:rPr>
          <w:lang w:eastAsia="en-AU"/>
        </w:rPr>
        <w:t xml:space="preserve">. </w:t>
      </w:r>
      <w:r>
        <w:rPr>
          <w:lang w:eastAsia="en-AU"/>
        </w:rPr>
        <w:t xml:space="preserve">The portal now uses the </w:t>
      </w:r>
      <w:r w:rsidRPr="004451CD">
        <w:rPr>
          <w:lang w:eastAsia="en-AU"/>
        </w:rPr>
        <w:t>updat</w:t>
      </w:r>
      <w:r>
        <w:rPr>
          <w:lang w:eastAsia="en-AU"/>
        </w:rPr>
        <w:t>e</w:t>
      </w:r>
      <w:r w:rsidRPr="004451CD">
        <w:rPr>
          <w:lang w:eastAsia="en-AU"/>
        </w:rPr>
        <w:t xml:space="preserve"> ANZSRC classification codes </w:t>
      </w:r>
      <w:r>
        <w:rPr>
          <w:lang w:eastAsia="en-AU"/>
        </w:rPr>
        <w:t xml:space="preserve">which have changed </w:t>
      </w:r>
      <w:r w:rsidRPr="004451CD">
        <w:rPr>
          <w:lang w:eastAsia="en-AU"/>
        </w:rPr>
        <w:t>from the 2008 version.</w:t>
      </w:r>
      <w:r>
        <w:rPr>
          <w:lang w:eastAsia="en-AU"/>
        </w:rPr>
        <w:t xml:space="preserve"> </w:t>
      </w:r>
      <w:r w:rsidRPr="003B745F">
        <w:rPr>
          <w:lang w:eastAsia="en-AU"/>
        </w:rPr>
        <w:t xml:space="preserve">This change </w:t>
      </w:r>
      <w:r>
        <w:rPr>
          <w:lang w:eastAsia="en-AU"/>
        </w:rPr>
        <w:t xml:space="preserve">now </w:t>
      </w:r>
      <w:r w:rsidRPr="003B745F">
        <w:rPr>
          <w:lang w:eastAsia="en-AU"/>
        </w:rPr>
        <w:t>align</w:t>
      </w:r>
      <w:r>
        <w:rPr>
          <w:lang w:eastAsia="en-AU"/>
        </w:rPr>
        <w:t>s</w:t>
      </w:r>
      <w:r w:rsidRPr="003B745F">
        <w:rPr>
          <w:lang w:eastAsia="en-AU"/>
        </w:rPr>
        <w:t xml:space="preserve"> the portal with </w:t>
      </w:r>
      <w:r>
        <w:rPr>
          <w:lang w:eastAsia="en-AU"/>
        </w:rPr>
        <w:t xml:space="preserve">updated provisions of </w:t>
      </w:r>
      <w:r w:rsidRPr="003B745F">
        <w:rPr>
          <w:lang w:eastAsia="en-AU"/>
        </w:rPr>
        <w:t xml:space="preserve">the </w:t>
      </w:r>
      <w:hyperlink r:id="rId27" w:history="1">
        <w:r w:rsidRPr="00646CB2">
          <w:rPr>
            <w:rStyle w:val="Hyperlink"/>
            <w:lang w:eastAsia="en-AU"/>
          </w:rPr>
          <w:t>Industry Research and Development Regulations 2022</w:t>
        </w:r>
      </w:hyperlink>
      <w:r>
        <w:rPr>
          <w:lang w:eastAsia="en-AU"/>
        </w:rPr>
        <w:t>. Further informati</w:t>
      </w:r>
      <w:r w:rsidRPr="003B745F">
        <w:rPr>
          <w:lang w:eastAsia="en-AU"/>
        </w:rPr>
        <w:t xml:space="preserve">on on ANZSRC definitions is available on the </w:t>
      </w:r>
      <w:hyperlink r:id="rId28" w:history="1">
        <w:r w:rsidRPr="003B745F">
          <w:rPr>
            <w:rStyle w:val="Hyperlink"/>
            <w:lang w:eastAsia="en-AU"/>
          </w:rPr>
          <w:t>ABS website</w:t>
        </w:r>
      </w:hyperlink>
      <w:r w:rsidRPr="003B745F">
        <w:rPr>
          <w:lang w:eastAsia="en-AU"/>
        </w:rPr>
        <w:t xml:space="preserve">, including resources to help you classify </w:t>
      </w:r>
      <w:r>
        <w:rPr>
          <w:lang w:eastAsia="en-AU"/>
        </w:rPr>
        <w:t>your activities under the correct f</w:t>
      </w:r>
      <w:r w:rsidRPr="003B745F">
        <w:rPr>
          <w:lang w:eastAsia="en-AU"/>
        </w:rPr>
        <w:t xml:space="preserve">ields of </w:t>
      </w:r>
      <w:r>
        <w:rPr>
          <w:lang w:eastAsia="en-AU"/>
        </w:rPr>
        <w:t>research definition.</w:t>
      </w:r>
    </w:p>
    <w:p w14:paraId="0D221D99" w14:textId="77777777" w:rsidR="00446150" w:rsidRDefault="00446150" w:rsidP="00566C50">
      <w:pPr>
        <w:rPr>
          <w:lang w:eastAsia="en-AU"/>
        </w:rPr>
      </w:pPr>
      <w:r w:rsidRPr="003B745F">
        <w:rPr>
          <w:lang w:eastAsia="en-AU"/>
        </w:rPr>
        <w:t xml:space="preserve">No major changes are planned for the customer portal for the remainder of 2022. There will be a minor release later in the year to update the list of </w:t>
      </w:r>
      <w:r>
        <w:rPr>
          <w:lang w:eastAsia="en-AU"/>
        </w:rPr>
        <w:t xml:space="preserve">registered </w:t>
      </w:r>
      <w:r w:rsidRPr="003B745F">
        <w:rPr>
          <w:lang w:eastAsia="en-AU"/>
        </w:rPr>
        <w:t>Research Service Providers and Cooperative Research Centres.</w:t>
      </w:r>
      <w:r>
        <w:rPr>
          <w:lang w:eastAsia="en-AU"/>
        </w:rPr>
        <w:t xml:space="preserve"> Should additional</w:t>
      </w:r>
      <w:r w:rsidRPr="003B745F">
        <w:rPr>
          <w:lang w:eastAsia="en-AU"/>
        </w:rPr>
        <w:t xml:space="preserve"> </w:t>
      </w:r>
      <w:r>
        <w:rPr>
          <w:lang w:eastAsia="en-AU"/>
        </w:rPr>
        <w:t xml:space="preserve">portal </w:t>
      </w:r>
      <w:r w:rsidRPr="003B745F">
        <w:rPr>
          <w:lang w:eastAsia="en-AU"/>
        </w:rPr>
        <w:t xml:space="preserve">updates </w:t>
      </w:r>
      <w:r>
        <w:rPr>
          <w:lang w:eastAsia="en-AU"/>
        </w:rPr>
        <w:t>be</w:t>
      </w:r>
      <w:r w:rsidRPr="003B745F">
        <w:rPr>
          <w:lang w:eastAsia="en-AU"/>
        </w:rPr>
        <w:t xml:space="preserve"> required in 2022, </w:t>
      </w:r>
      <w:r>
        <w:rPr>
          <w:lang w:eastAsia="en-AU"/>
        </w:rPr>
        <w:t xml:space="preserve">this will be </w:t>
      </w:r>
      <w:r w:rsidRPr="003B745F">
        <w:rPr>
          <w:lang w:eastAsia="en-AU"/>
        </w:rPr>
        <w:t>notifi</w:t>
      </w:r>
      <w:r>
        <w:rPr>
          <w:lang w:eastAsia="en-AU"/>
        </w:rPr>
        <w:t>ed</w:t>
      </w:r>
      <w:r w:rsidRPr="003B745F">
        <w:rPr>
          <w:lang w:eastAsia="en-AU"/>
        </w:rPr>
        <w:t xml:space="preserve"> on </w:t>
      </w:r>
      <w:r>
        <w:rPr>
          <w:lang w:eastAsia="en-AU"/>
        </w:rPr>
        <w:t xml:space="preserve">the </w:t>
      </w:r>
      <w:r w:rsidRPr="003B745F">
        <w:rPr>
          <w:lang w:eastAsia="en-AU"/>
        </w:rPr>
        <w:t>portal help and support webpage</w:t>
      </w:r>
      <w:r>
        <w:rPr>
          <w:lang w:eastAsia="en-AU"/>
        </w:rPr>
        <w:t>.</w:t>
      </w:r>
    </w:p>
    <w:p w14:paraId="70D64062" w14:textId="77777777" w:rsidR="00446150" w:rsidRPr="00DF51B1" w:rsidRDefault="00446150" w:rsidP="00566C50">
      <w:pPr>
        <w:pStyle w:val="Heading5"/>
        <w:rPr>
          <w:i w:val="0"/>
          <w:lang w:eastAsia="en-AU"/>
        </w:rPr>
      </w:pPr>
      <w:r w:rsidRPr="00DF51B1">
        <w:rPr>
          <w:i w:val="0"/>
          <w:lang w:eastAsia="en-AU"/>
        </w:rPr>
        <w:t>Portal access authorisations</w:t>
      </w:r>
    </w:p>
    <w:p w14:paraId="6670EC94" w14:textId="77777777" w:rsidR="00446150" w:rsidRDefault="00446150" w:rsidP="00566C50">
      <w:pPr>
        <w:rPr>
          <w:lang w:eastAsia="en-AU"/>
        </w:rPr>
      </w:pPr>
      <w:r>
        <w:rPr>
          <w:lang w:eastAsia="en-AU"/>
        </w:rPr>
        <w:t xml:space="preserve">Companies </w:t>
      </w:r>
      <w:r w:rsidRPr="003B745F">
        <w:rPr>
          <w:lang w:eastAsia="en-AU"/>
        </w:rPr>
        <w:t xml:space="preserve">should </w:t>
      </w:r>
      <w:r>
        <w:rPr>
          <w:lang w:eastAsia="en-AU"/>
        </w:rPr>
        <w:t xml:space="preserve">be reminded to </w:t>
      </w:r>
      <w:r w:rsidRPr="003B745F">
        <w:rPr>
          <w:lang w:eastAsia="en-AU"/>
        </w:rPr>
        <w:t xml:space="preserve">review </w:t>
      </w:r>
      <w:r>
        <w:rPr>
          <w:lang w:eastAsia="en-AU"/>
        </w:rPr>
        <w:t xml:space="preserve">and update the </w:t>
      </w:r>
      <w:r w:rsidRPr="003B745F">
        <w:rPr>
          <w:lang w:eastAsia="en-AU"/>
        </w:rPr>
        <w:t xml:space="preserve">authorisations they have set up </w:t>
      </w:r>
      <w:r>
        <w:rPr>
          <w:lang w:eastAsia="en-AU"/>
        </w:rPr>
        <w:t xml:space="preserve">in </w:t>
      </w:r>
      <w:r w:rsidRPr="003B745F">
        <w:rPr>
          <w:lang w:eastAsia="en-AU"/>
        </w:rPr>
        <w:t>both the customer portal and the ATO</w:t>
      </w:r>
      <w:r>
        <w:rPr>
          <w:lang w:eastAsia="en-AU"/>
        </w:rPr>
        <w:t>’s</w:t>
      </w:r>
      <w:r w:rsidRPr="003B745F">
        <w:rPr>
          <w:lang w:eastAsia="en-AU"/>
        </w:rPr>
        <w:t xml:space="preserve"> Relationship Authorisation Manager to ensure they are current. This includes </w:t>
      </w:r>
      <w:r>
        <w:rPr>
          <w:lang w:eastAsia="en-AU"/>
        </w:rPr>
        <w:t xml:space="preserve">authorisations to </w:t>
      </w:r>
      <w:r w:rsidRPr="003B745F">
        <w:rPr>
          <w:lang w:eastAsia="en-AU"/>
        </w:rPr>
        <w:t xml:space="preserve">extend access </w:t>
      </w:r>
      <w:r>
        <w:rPr>
          <w:lang w:eastAsia="en-AU"/>
        </w:rPr>
        <w:t>to</w:t>
      </w:r>
      <w:r w:rsidRPr="003B745F">
        <w:rPr>
          <w:lang w:eastAsia="en-AU"/>
        </w:rPr>
        <w:t xml:space="preserve"> third parties</w:t>
      </w:r>
      <w:r>
        <w:rPr>
          <w:lang w:eastAsia="en-AU"/>
        </w:rPr>
        <w:t xml:space="preserve">, </w:t>
      </w:r>
      <w:r w:rsidRPr="003B745F">
        <w:rPr>
          <w:lang w:eastAsia="en-AU"/>
        </w:rPr>
        <w:t>and removing it whe</w:t>
      </w:r>
      <w:r>
        <w:rPr>
          <w:lang w:eastAsia="en-AU"/>
        </w:rPr>
        <w:t>n</w:t>
      </w:r>
      <w:r w:rsidRPr="003B745F">
        <w:rPr>
          <w:lang w:eastAsia="en-AU"/>
        </w:rPr>
        <w:t xml:space="preserve"> no longer required.</w:t>
      </w:r>
    </w:p>
    <w:p w14:paraId="1530E912" w14:textId="77777777" w:rsidR="00446150" w:rsidRPr="0072669A" w:rsidRDefault="00446150" w:rsidP="00566C50">
      <w:pPr>
        <w:pStyle w:val="Heading3"/>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Application </w:t>
      </w:r>
      <w:r w:rsidRPr="0072669A">
        <w:rPr>
          <w:rFonts w:ascii="Calibri" w:eastAsia="Times New Roman" w:hAnsi="Calibri" w:cs="Calibri"/>
          <w:sz w:val="22"/>
          <w:szCs w:val="22"/>
          <w:lang w:eastAsia="en-AU"/>
        </w:rPr>
        <w:t>insights</w:t>
      </w:r>
    </w:p>
    <w:p w14:paraId="106A2252" w14:textId="77777777" w:rsidR="00446150" w:rsidRDefault="00446150" w:rsidP="00566C50">
      <w:pPr>
        <w:rPr>
          <w:lang w:eastAsia="en-AU"/>
        </w:rPr>
      </w:pPr>
      <w:r w:rsidRPr="0072669A">
        <w:rPr>
          <w:lang w:eastAsia="en-AU"/>
        </w:rPr>
        <w:t xml:space="preserve">There are several common mistakes </w:t>
      </w:r>
      <w:r>
        <w:rPr>
          <w:lang w:eastAsia="en-AU"/>
        </w:rPr>
        <w:t xml:space="preserve">made by </w:t>
      </w:r>
      <w:r w:rsidRPr="0072669A">
        <w:rPr>
          <w:lang w:eastAsia="en-AU"/>
        </w:rPr>
        <w:t xml:space="preserve">applicants </w:t>
      </w:r>
      <w:r>
        <w:rPr>
          <w:lang w:eastAsia="en-AU"/>
        </w:rPr>
        <w:t xml:space="preserve">that can </w:t>
      </w:r>
      <w:r w:rsidRPr="0072669A">
        <w:rPr>
          <w:lang w:eastAsia="en-AU"/>
        </w:rPr>
        <w:t xml:space="preserve">cause a delay in </w:t>
      </w:r>
      <w:r>
        <w:rPr>
          <w:lang w:eastAsia="en-AU"/>
        </w:rPr>
        <w:t>their registration</w:t>
      </w:r>
      <w:r w:rsidRPr="0072669A">
        <w:rPr>
          <w:lang w:eastAsia="en-AU"/>
        </w:rPr>
        <w:t>. One of the main issues</w:t>
      </w:r>
      <w:r>
        <w:rPr>
          <w:lang w:eastAsia="en-AU"/>
        </w:rPr>
        <w:t xml:space="preserve"> is companies missing the lodgement deadline because insufficient time is allowed for portal access</w:t>
      </w:r>
      <w:r w:rsidRPr="0072669A">
        <w:rPr>
          <w:lang w:eastAsia="en-AU"/>
        </w:rPr>
        <w:t xml:space="preserve">. </w:t>
      </w:r>
      <w:r>
        <w:rPr>
          <w:lang w:eastAsia="en-AU"/>
        </w:rPr>
        <w:t xml:space="preserve">Setting up a portal account for the first time </w:t>
      </w:r>
      <w:r w:rsidRPr="0072669A">
        <w:rPr>
          <w:lang w:eastAsia="en-AU"/>
        </w:rPr>
        <w:t xml:space="preserve">can take longer than expected and several companies have </w:t>
      </w:r>
      <w:r>
        <w:rPr>
          <w:lang w:eastAsia="en-AU"/>
        </w:rPr>
        <w:t xml:space="preserve">to then apply </w:t>
      </w:r>
      <w:r w:rsidRPr="0072669A">
        <w:rPr>
          <w:lang w:eastAsia="en-AU"/>
        </w:rPr>
        <w:t xml:space="preserve">for an extension of time </w:t>
      </w:r>
      <w:r>
        <w:rPr>
          <w:lang w:eastAsia="en-AU"/>
        </w:rPr>
        <w:t xml:space="preserve">in order to submit an application. It is important to </w:t>
      </w:r>
      <w:r w:rsidRPr="0072669A">
        <w:rPr>
          <w:lang w:eastAsia="en-AU"/>
        </w:rPr>
        <w:t xml:space="preserve">note that extension of time requests </w:t>
      </w:r>
      <w:r>
        <w:rPr>
          <w:lang w:eastAsia="en-AU"/>
        </w:rPr>
        <w:t xml:space="preserve">can only </w:t>
      </w:r>
      <w:r w:rsidRPr="0072669A">
        <w:rPr>
          <w:lang w:eastAsia="en-AU"/>
        </w:rPr>
        <w:t>be made via the Portal.</w:t>
      </w:r>
    </w:p>
    <w:p w14:paraId="52B361E7" w14:textId="77777777" w:rsidR="00446150" w:rsidRPr="0072669A" w:rsidRDefault="00446150" w:rsidP="00566C50">
      <w:pPr>
        <w:rPr>
          <w:lang w:eastAsia="en-AU"/>
        </w:rPr>
      </w:pPr>
      <w:r>
        <w:rPr>
          <w:lang w:eastAsia="en-AU"/>
        </w:rPr>
        <w:t xml:space="preserve">Delays to </w:t>
      </w:r>
      <w:r w:rsidRPr="0072669A">
        <w:rPr>
          <w:lang w:eastAsia="en-AU"/>
        </w:rPr>
        <w:t xml:space="preserve">registration </w:t>
      </w:r>
      <w:r>
        <w:rPr>
          <w:lang w:eastAsia="en-AU"/>
        </w:rPr>
        <w:t>are also caused by:</w:t>
      </w:r>
    </w:p>
    <w:p w14:paraId="46BFCB03" w14:textId="77777777" w:rsidR="00446150" w:rsidRPr="0072669A" w:rsidRDefault="00446150" w:rsidP="00446150">
      <w:pPr>
        <w:pStyle w:val="Bullet1"/>
        <w:numPr>
          <w:ilvl w:val="0"/>
          <w:numId w:val="10"/>
        </w:numPr>
        <w:ind w:left="284" w:hanging="284"/>
        <w:rPr>
          <w:lang w:eastAsia="en-AU"/>
        </w:rPr>
      </w:pPr>
      <w:r w:rsidRPr="00446150">
        <w:rPr>
          <w:i/>
          <w:lang w:eastAsia="en-AU"/>
        </w:rPr>
        <w:lastRenderedPageBreak/>
        <w:t>Applications submitted with incorrect entity details.</w:t>
      </w:r>
      <w:r w:rsidRPr="0072669A">
        <w:rPr>
          <w:lang w:eastAsia="en-AU"/>
        </w:rPr>
        <w:t xml:space="preserve"> </w:t>
      </w:r>
      <w:r>
        <w:rPr>
          <w:lang w:eastAsia="en-AU"/>
        </w:rPr>
        <w:t>This is particularly important when tax</w:t>
      </w:r>
      <w:r w:rsidRPr="0072669A">
        <w:rPr>
          <w:lang w:eastAsia="en-AU"/>
        </w:rPr>
        <w:t xml:space="preserve"> structures </w:t>
      </w:r>
      <w:r>
        <w:rPr>
          <w:lang w:eastAsia="en-AU"/>
        </w:rPr>
        <w:t>c</w:t>
      </w:r>
      <w:r w:rsidRPr="0072669A">
        <w:rPr>
          <w:lang w:eastAsia="en-AU"/>
        </w:rPr>
        <w:t xml:space="preserve">hange </w:t>
      </w:r>
      <w:r>
        <w:rPr>
          <w:lang w:eastAsia="en-AU"/>
        </w:rPr>
        <w:t xml:space="preserve">that require an update to the </w:t>
      </w:r>
      <w:r w:rsidRPr="0072669A">
        <w:rPr>
          <w:lang w:eastAsia="en-AU"/>
        </w:rPr>
        <w:t xml:space="preserve">entity </w:t>
      </w:r>
      <w:r>
        <w:rPr>
          <w:lang w:eastAsia="en-AU"/>
        </w:rPr>
        <w:t xml:space="preserve">that should be </w:t>
      </w:r>
      <w:r w:rsidRPr="0072669A">
        <w:rPr>
          <w:lang w:eastAsia="en-AU"/>
        </w:rPr>
        <w:t xml:space="preserve">applying on behalf of </w:t>
      </w:r>
      <w:r>
        <w:rPr>
          <w:lang w:eastAsia="en-AU"/>
        </w:rPr>
        <w:t>a</w:t>
      </w:r>
      <w:r w:rsidRPr="0072669A">
        <w:rPr>
          <w:lang w:eastAsia="en-AU"/>
        </w:rPr>
        <w:t xml:space="preserve"> group.</w:t>
      </w:r>
    </w:p>
    <w:p w14:paraId="46DC01BD" w14:textId="77777777" w:rsidR="00446150" w:rsidRPr="0072669A" w:rsidRDefault="00446150" w:rsidP="00446150">
      <w:pPr>
        <w:pStyle w:val="Bullet1"/>
        <w:numPr>
          <w:ilvl w:val="0"/>
          <w:numId w:val="10"/>
        </w:numPr>
        <w:ind w:left="284" w:hanging="284"/>
        <w:rPr>
          <w:lang w:eastAsia="en-AU"/>
        </w:rPr>
      </w:pPr>
      <w:r w:rsidRPr="00446150">
        <w:rPr>
          <w:i/>
          <w:lang w:eastAsia="en-AU"/>
        </w:rPr>
        <w:t>Applications submitted with the wrong financial year.</w:t>
      </w:r>
      <w:r w:rsidRPr="0072669A">
        <w:rPr>
          <w:lang w:eastAsia="en-AU"/>
        </w:rPr>
        <w:t xml:space="preserve"> </w:t>
      </w:r>
      <w:r>
        <w:rPr>
          <w:lang w:eastAsia="en-AU"/>
        </w:rPr>
        <w:t xml:space="preserve">When a </w:t>
      </w:r>
      <w:r w:rsidRPr="0072669A">
        <w:rPr>
          <w:lang w:eastAsia="en-AU"/>
        </w:rPr>
        <w:t xml:space="preserve">company </w:t>
      </w:r>
      <w:r>
        <w:rPr>
          <w:lang w:eastAsia="en-AU"/>
        </w:rPr>
        <w:t xml:space="preserve">incorrectly nominates their income period, such as choosing 30 June balance date instead of </w:t>
      </w:r>
      <w:r w:rsidRPr="0072669A">
        <w:rPr>
          <w:lang w:eastAsia="en-AU"/>
        </w:rPr>
        <w:t>31 Dec</w:t>
      </w:r>
      <w:r>
        <w:rPr>
          <w:lang w:eastAsia="en-AU"/>
        </w:rPr>
        <w:t>ember, t</w:t>
      </w:r>
      <w:r w:rsidRPr="0072669A">
        <w:rPr>
          <w:lang w:eastAsia="en-AU"/>
        </w:rPr>
        <w:t xml:space="preserve">he application </w:t>
      </w:r>
      <w:r>
        <w:rPr>
          <w:lang w:eastAsia="en-AU"/>
        </w:rPr>
        <w:t xml:space="preserve">must </w:t>
      </w:r>
      <w:r w:rsidRPr="0072669A">
        <w:rPr>
          <w:lang w:eastAsia="en-AU"/>
        </w:rPr>
        <w:t xml:space="preserve">be withdrawn and resubmitted </w:t>
      </w:r>
      <w:r>
        <w:rPr>
          <w:lang w:eastAsia="en-AU"/>
        </w:rPr>
        <w:t xml:space="preserve">for </w:t>
      </w:r>
      <w:r w:rsidRPr="0072669A">
        <w:rPr>
          <w:lang w:eastAsia="en-AU"/>
        </w:rPr>
        <w:t>the correct financial year.</w:t>
      </w:r>
    </w:p>
    <w:p w14:paraId="013B8CBA" w14:textId="77777777" w:rsidR="00446150" w:rsidRPr="00446150" w:rsidRDefault="00446150" w:rsidP="00446150">
      <w:pPr>
        <w:pStyle w:val="Bullet1"/>
        <w:numPr>
          <w:ilvl w:val="0"/>
          <w:numId w:val="10"/>
        </w:numPr>
        <w:ind w:left="284" w:hanging="284"/>
        <w:rPr>
          <w:lang w:eastAsia="en-AU"/>
        </w:rPr>
      </w:pPr>
      <w:r w:rsidRPr="00446150">
        <w:rPr>
          <w:i/>
          <w:lang w:eastAsia="en-AU"/>
        </w:rPr>
        <w:t>Incorrect primary R&amp;D contact details.</w:t>
      </w:r>
      <w:r w:rsidRPr="0072669A">
        <w:rPr>
          <w:lang w:eastAsia="en-AU"/>
        </w:rPr>
        <w:t xml:space="preserve"> </w:t>
      </w:r>
      <w:r>
        <w:rPr>
          <w:lang w:eastAsia="en-AU"/>
        </w:rPr>
        <w:t xml:space="preserve">The primary contact </w:t>
      </w:r>
      <w:r w:rsidRPr="0072669A">
        <w:rPr>
          <w:lang w:eastAsia="en-AU"/>
        </w:rPr>
        <w:t xml:space="preserve">must be </w:t>
      </w:r>
      <w:r>
        <w:rPr>
          <w:lang w:eastAsia="en-AU"/>
        </w:rPr>
        <w:t xml:space="preserve">a </w:t>
      </w:r>
      <w:r w:rsidRPr="0072669A">
        <w:rPr>
          <w:lang w:eastAsia="en-AU"/>
        </w:rPr>
        <w:t xml:space="preserve">company </w:t>
      </w:r>
      <w:r>
        <w:rPr>
          <w:lang w:eastAsia="en-AU"/>
        </w:rPr>
        <w:t>representative with t</w:t>
      </w:r>
      <w:r w:rsidRPr="0072669A">
        <w:rPr>
          <w:lang w:eastAsia="en-AU"/>
        </w:rPr>
        <w:t xml:space="preserve">heir </w:t>
      </w:r>
      <w:r>
        <w:rPr>
          <w:lang w:eastAsia="en-AU"/>
        </w:rPr>
        <w:t xml:space="preserve">correct </w:t>
      </w:r>
      <w:r w:rsidRPr="0072669A">
        <w:rPr>
          <w:lang w:eastAsia="en-AU"/>
        </w:rPr>
        <w:t>email address</w:t>
      </w:r>
      <w:r>
        <w:rPr>
          <w:lang w:eastAsia="en-AU"/>
        </w:rPr>
        <w:t xml:space="preserve"> and not the </w:t>
      </w:r>
      <w:r w:rsidRPr="0072669A">
        <w:rPr>
          <w:lang w:eastAsia="en-AU"/>
        </w:rPr>
        <w:t xml:space="preserve">email </w:t>
      </w:r>
      <w:r>
        <w:rPr>
          <w:lang w:eastAsia="en-AU"/>
        </w:rPr>
        <w:t>for a tax agent or R&amp;D consultant.</w:t>
      </w:r>
      <w:r w:rsidRPr="0072669A">
        <w:rPr>
          <w:lang w:eastAsia="en-AU"/>
        </w:rPr>
        <w:t xml:space="preserve"> </w:t>
      </w:r>
      <w:r>
        <w:rPr>
          <w:lang w:eastAsia="en-AU"/>
        </w:rPr>
        <w:t xml:space="preserve">Contact details for advisors are accommodated elsewhere in the registration form. Correct entry of the primary R&amp;D contact field </w:t>
      </w:r>
      <w:r w:rsidRPr="0072669A">
        <w:rPr>
          <w:lang w:eastAsia="en-AU"/>
        </w:rPr>
        <w:t xml:space="preserve">is important </w:t>
      </w:r>
      <w:r>
        <w:rPr>
          <w:lang w:eastAsia="en-AU"/>
        </w:rPr>
        <w:t>for our registration workflows.</w:t>
      </w:r>
    </w:p>
    <w:p w14:paraId="64925F9C" w14:textId="77777777" w:rsidR="00446150" w:rsidRPr="00751D14" w:rsidRDefault="00446150" w:rsidP="00446150">
      <w:pPr>
        <w:pStyle w:val="Bullet1"/>
        <w:numPr>
          <w:ilvl w:val="0"/>
          <w:numId w:val="10"/>
        </w:numPr>
        <w:ind w:left="284" w:hanging="284"/>
        <w:rPr>
          <w:lang w:eastAsia="en-AU"/>
        </w:rPr>
      </w:pPr>
      <w:r w:rsidRPr="00446150">
        <w:rPr>
          <w:i/>
          <w:lang w:eastAsia="en-AU"/>
        </w:rPr>
        <w:t>Missing RSP information.</w:t>
      </w:r>
      <w:r>
        <w:rPr>
          <w:lang w:eastAsia="en-AU"/>
        </w:rPr>
        <w:t xml:space="preserve"> </w:t>
      </w:r>
      <w:r w:rsidRPr="00751D14">
        <w:rPr>
          <w:lang w:eastAsia="en-AU"/>
        </w:rPr>
        <w:t xml:space="preserve">Applicants that </w:t>
      </w:r>
      <w:r>
        <w:rPr>
          <w:lang w:eastAsia="en-AU"/>
        </w:rPr>
        <w:t xml:space="preserve">use </w:t>
      </w:r>
      <w:r w:rsidRPr="00751D14">
        <w:rPr>
          <w:lang w:eastAsia="en-AU"/>
        </w:rPr>
        <w:t xml:space="preserve">a </w:t>
      </w:r>
      <w:r>
        <w:rPr>
          <w:lang w:eastAsia="en-AU"/>
        </w:rPr>
        <w:t>r</w:t>
      </w:r>
      <w:r w:rsidRPr="00751D14">
        <w:rPr>
          <w:lang w:eastAsia="en-AU"/>
        </w:rPr>
        <w:t xml:space="preserve">egistered </w:t>
      </w:r>
      <w:r>
        <w:rPr>
          <w:lang w:eastAsia="en-AU"/>
        </w:rPr>
        <w:t xml:space="preserve">Research </w:t>
      </w:r>
      <w:r w:rsidRPr="00751D14">
        <w:rPr>
          <w:lang w:eastAsia="en-AU"/>
        </w:rPr>
        <w:t xml:space="preserve">Service Provider (RSP) </w:t>
      </w:r>
      <w:r>
        <w:rPr>
          <w:lang w:eastAsia="en-AU"/>
        </w:rPr>
        <w:t xml:space="preserve">for some or all of their R&amp;D activities should also include </w:t>
      </w:r>
      <w:r w:rsidRPr="00751D14">
        <w:rPr>
          <w:lang w:eastAsia="en-AU"/>
        </w:rPr>
        <w:t xml:space="preserve">the details of the </w:t>
      </w:r>
      <w:r>
        <w:rPr>
          <w:lang w:eastAsia="en-AU"/>
        </w:rPr>
        <w:t>RSP in the relevant field.</w:t>
      </w:r>
    </w:p>
    <w:p w14:paraId="5E6ACBAC" w14:textId="77777777" w:rsidR="00446150" w:rsidRDefault="00446150" w:rsidP="00566C50">
      <w:pPr>
        <w:pStyle w:val="Heading3"/>
        <w:rPr>
          <w:lang w:eastAsia="en-AU"/>
        </w:rPr>
      </w:pPr>
      <w:r>
        <w:rPr>
          <w:lang w:eastAsia="en-AU"/>
        </w:rPr>
        <w:t>Registration and claims data</w:t>
      </w:r>
    </w:p>
    <w:p w14:paraId="42146F49" w14:textId="77777777" w:rsidR="00446150" w:rsidRDefault="00446150" w:rsidP="00566C50">
      <w:pPr>
        <w:rPr>
          <w:color w:val="auto"/>
          <w:lang w:val="en-US" w:eastAsia="en-AU"/>
        </w:rPr>
      </w:pPr>
      <w:r w:rsidRPr="79E4B837">
        <w:rPr>
          <w:lang w:eastAsia="en-AU"/>
        </w:rPr>
        <w:t>R&amp;D</w:t>
      </w:r>
      <w:r>
        <w:rPr>
          <w:lang w:eastAsia="en-AU"/>
        </w:rPr>
        <w:t>T</w:t>
      </w:r>
      <w:r w:rsidRPr="79E4B837">
        <w:rPr>
          <w:lang w:eastAsia="en-AU"/>
        </w:rPr>
        <w:t>I registration</w:t>
      </w:r>
      <w:r>
        <w:rPr>
          <w:lang w:eastAsia="en-AU"/>
        </w:rPr>
        <w:t xml:space="preserve"> data</w:t>
      </w:r>
      <w:r w:rsidRPr="79E4B837">
        <w:rPr>
          <w:lang w:eastAsia="en-AU"/>
        </w:rPr>
        <w:t xml:space="preserve"> </w:t>
      </w:r>
      <w:r>
        <w:rPr>
          <w:lang w:eastAsia="en-AU"/>
        </w:rPr>
        <w:t xml:space="preserve">provided below as the most recent dataset </w:t>
      </w:r>
      <w:r w:rsidRPr="79E4B837">
        <w:rPr>
          <w:lang w:eastAsia="en-AU"/>
        </w:rPr>
        <w:t xml:space="preserve">for the 2020/2021 period. This </w:t>
      </w:r>
      <w:r>
        <w:rPr>
          <w:lang w:eastAsia="en-AU"/>
        </w:rPr>
        <w:t xml:space="preserve">dataset is incomplete </w:t>
      </w:r>
      <w:r w:rsidRPr="79E4B837">
        <w:rPr>
          <w:lang w:eastAsia="en-AU"/>
        </w:rPr>
        <w:t xml:space="preserve">for the period </w:t>
      </w:r>
      <w:r>
        <w:rPr>
          <w:lang w:eastAsia="en-AU"/>
        </w:rPr>
        <w:t>as</w:t>
      </w:r>
      <w:r w:rsidRPr="79E4B837">
        <w:rPr>
          <w:lang w:eastAsia="en-AU"/>
        </w:rPr>
        <w:t xml:space="preserve"> application</w:t>
      </w:r>
      <w:r>
        <w:rPr>
          <w:lang w:eastAsia="en-AU"/>
        </w:rPr>
        <w:t>s can be submitted up to</w:t>
      </w:r>
      <w:r w:rsidRPr="79E4B837">
        <w:rPr>
          <w:lang w:eastAsia="en-AU"/>
        </w:rPr>
        <w:t xml:space="preserve"> 15 months after the end of the Australian standard financial year.</w:t>
      </w:r>
      <w:r>
        <w:rPr>
          <w:color w:val="auto"/>
          <w:lang w:val="en-US" w:eastAsia="en-AU"/>
        </w:rPr>
        <w:t xml:space="preserve"> As such this data is indicative only and will change when the full dataset is available.</w:t>
      </w:r>
    </w:p>
    <w:p w14:paraId="24FE0948" w14:textId="77777777" w:rsidR="00446150" w:rsidRPr="00751D14" w:rsidRDefault="00446150" w:rsidP="00566C50">
      <w:pPr>
        <w:pStyle w:val="Heading5"/>
        <w:rPr>
          <w:b/>
        </w:rPr>
      </w:pPr>
      <w:r w:rsidRPr="00796BCD">
        <w:rPr>
          <w:i w:val="0"/>
          <w:lang w:eastAsia="en-AU"/>
        </w:rPr>
        <w:t>Table 1:  Overall registrations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3686"/>
      </w:tblGrid>
      <w:tr w:rsidR="00446150" w:rsidRPr="0041136F" w14:paraId="3EF3AB69" w14:textId="77777777" w:rsidTr="00566C50">
        <w:trPr>
          <w:trHeight w:val="300"/>
        </w:trPr>
        <w:tc>
          <w:tcPr>
            <w:tcW w:w="7230" w:type="dxa"/>
            <w:gridSpan w:val="2"/>
            <w:tcBorders>
              <w:top w:val="nil"/>
              <w:left w:val="nil"/>
              <w:bottom w:val="nil"/>
              <w:right w:val="nil"/>
            </w:tcBorders>
            <w:shd w:val="clear" w:color="auto" w:fill="auto"/>
            <w:vAlign w:val="bottom"/>
            <w:hideMark/>
          </w:tcPr>
          <w:p w14:paraId="40B6C6C1" w14:textId="77777777" w:rsidR="00446150" w:rsidRPr="0041136F" w:rsidRDefault="00446150" w:rsidP="00566C50">
            <w:pPr>
              <w:pStyle w:val="TableHeading"/>
              <w:divId w:val="1796486688"/>
              <w:rPr>
                <w:rFonts w:ascii="Times New Roman" w:hAnsi="Times New Roman" w:cs="Times New Roman"/>
                <w:color w:val="auto"/>
                <w:sz w:val="24"/>
                <w:szCs w:val="24"/>
                <w:lang w:eastAsia="en-AU"/>
              </w:rPr>
            </w:pPr>
            <w:r w:rsidRPr="79E4B837">
              <w:rPr>
                <w:lang w:eastAsia="en-AU"/>
              </w:rPr>
              <w:t xml:space="preserve">R&amp;D Tax Incentive Program </w:t>
            </w:r>
            <w:r>
              <w:rPr>
                <w:lang w:eastAsia="en-AU"/>
              </w:rPr>
              <w:t>REGISTRATIONS</w:t>
            </w:r>
            <w:r w:rsidRPr="79E4B837">
              <w:rPr>
                <w:color w:val="auto"/>
                <w:lang w:eastAsia="en-AU"/>
              </w:rPr>
              <w:t> </w:t>
            </w:r>
          </w:p>
        </w:tc>
      </w:tr>
      <w:tr w:rsidR="00446150" w:rsidRPr="0041136F" w14:paraId="3FA6A840" w14:textId="77777777" w:rsidTr="00566C50">
        <w:trPr>
          <w:trHeight w:val="300"/>
        </w:trPr>
        <w:tc>
          <w:tcPr>
            <w:tcW w:w="3544" w:type="dxa"/>
            <w:tcBorders>
              <w:top w:val="nil"/>
              <w:left w:val="nil"/>
              <w:bottom w:val="nil"/>
              <w:right w:val="nil"/>
            </w:tcBorders>
            <w:shd w:val="clear" w:color="auto" w:fill="FFFFFF" w:themeFill="background1"/>
            <w:vAlign w:val="bottom"/>
            <w:hideMark/>
          </w:tcPr>
          <w:p w14:paraId="2503B80F" w14:textId="77777777" w:rsidR="00446150" w:rsidRPr="0041136F" w:rsidRDefault="00446150" w:rsidP="00566C50">
            <w:pPr>
              <w:rPr>
                <w:rFonts w:ascii="Times New Roman" w:hAnsi="Times New Roman" w:cs="Times New Roman"/>
                <w:color w:val="auto"/>
                <w:sz w:val="24"/>
                <w:szCs w:val="24"/>
                <w:lang w:eastAsia="en-AU"/>
              </w:rPr>
            </w:pPr>
            <w:r w:rsidRPr="79E4B837">
              <w:rPr>
                <w:lang w:eastAsia="en-AU"/>
              </w:rPr>
              <w:t>Number of Registrations</w:t>
            </w:r>
            <w:r w:rsidRPr="79E4B837">
              <w:rPr>
                <w:color w:val="auto"/>
                <w:lang w:eastAsia="en-AU"/>
              </w:rPr>
              <w:t> </w:t>
            </w:r>
          </w:p>
        </w:tc>
        <w:tc>
          <w:tcPr>
            <w:tcW w:w="3686" w:type="dxa"/>
            <w:tcBorders>
              <w:top w:val="nil"/>
              <w:left w:val="nil"/>
              <w:bottom w:val="nil"/>
              <w:right w:val="nil"/>
            </w:tcBorders>
            <w:shd w:val="clear" w:color="auto" w:fill="FFFFFF" w:themeFill="background1"/>
            <w:vAlign w:val="bottom"/>
            <w:hideMark/>
          </w:tcPr>
          <w:p w14:paraId="1AB8D3EB" w14:textId="77777777" w:rsidR="00446150" w:rsidRPr="0041136F" w:rsidRDefault="00446150" w:rsidP="00566C50">
            <w:pPr>
              <w:rPr>
                <w:rFonts w:ascii="Times New Roman" w:hAnsi="Times New Roman" w:cs="Times New Roman"/>
                <w:color w:val="auto"/>
                <w:sz w:val="24"/>
                <w:szCs w:val="24"/>
                <w:lang w:eastAsia="en-AU"/>
              </w:rPr>
            </w:pPr>
            <w:r w:rsidRPr="79E4B837">
              <w:rPr>
                <w:lang w:eastAsia="en-AU"/>
              </w:rPr>
              <w:t>12,288</w:t>
            </w:r>
            <w:r w:rsidRPr="79E4B837">
              <w:rPr>
                <w:color w:val="auto"/>
                <w:lang w:eastAsia="en-AU"/>
              </w:rPr>
              <w:t> </w:t>
            </w:r>
          </w:p>
        </w:tc>
      </w:tr>
      <w:tr w:rsidR="00446150" w:rsidRPr="0041136F" w14:paraId="725C4976" w14:textId="77777777" w:rsidTr="00566C50">
        <w:trPr>
          <w:trHeight w:val="300"/>
        </w:trPr>
        <w:tc>
          <w:tcPr>
            <w:tcW w:w="3544" w:type="dxa"/>
            <w:tcBorders>
              <w:top w:val="nil"/>
              <w:left w:val="nil"/>
              <w:bottom w:val="single" w:sz="4" w:space="0" w:color="auto"/>
              <w:right w:val="nil"/>
            </w:tcBorders>
            <w:shd w:val="clear" w:color="auto" w:fill="auto"/>
            <w:vAlign w:val="bottom"/>
            <w:hideMark/>
          </w:tcPr>
          <w:p w14:paraId="77917CD5" w14:textId="77777777" w:rsidR="00446150" w:rsidRPr="0041136F" w:rsidRDefault="00446150" w:rsidP="00566C50">
            <w:pPr>
              <w:rPr>
                <w:rFonts w:ascii="Times New Roman" w:hAnsi="Times New Roman" w:cs="Times New Roman"/>
                <w:color w:val="auto"/>
                <w:sz w:val="24"/>
                <w:szCs w:val="24"/>
                <w:lang w:eastAsia="en-AU"/>
              </w:rPr>
            </w:pPr>
            <w:r>
              <w:rPr>
                <w:lang w:eastAsia="en-AU"/>
              </w:rPr>
              <w:t>R&amp;D E</w:t>
            </w:r>
            <w:r w:rsidRPr="79E4B837">
              <w:rPr>
                <w:lang w:eastAsia="en-AU"/>
              </w:rPr>
              <w:t>xpenditure (</w:t>
            </w:r>
            <w:r w:rsidRPr="79E4B837">
              <w:rPr>
                <w:b/>
                <w:bCs/>
                <w:lang w:eastAsia="en-AU"/>
              </w:rPr>
              <w:t>billion</w:t>
            </w:r>
            <w:r w:rsidRPr="79E4B837">
              <w:rPr>
                <w:lang w:eastAsia="en-AU"/>
              </w:rPr>
              <w:t>)</w:t>
            </w:r>
            <w:r w:rsidRPr="79E4B837">
              <w:rPr>
                <w:color w:val="auto"/>
                <w:lang w:eastAsia="en-AU"/>
              </w:rPr>
              <w:t> </w:t>
            </w:r>
          </w:p>
        </w:tc>
        <w:tc>
          <w:tcPr>
            <w:tcW w:w="3686" w:type="dxa"/>
            <w:tcBorders>
              <w:top w:val="nil"/>
              <w:left w:val="nil"/>
              <w:bottom w:val="single" w:sz="4" w:space="0" w:color="auto"/>
              <w:right w:val="nil"/>
            </w:tcBorders>
            <w:shd w:val="clear" w:color="auto" w:fill="auto"/>
            <w:vAlign w:val="bottom"/>
            <w:hideMark/>
          </w:tcPr>
          <w:p w14:paraId="236EF290" w14:textId="77777777" w:rsidR="00446150" w:rsidRPr="0041136F" w:rsidRDefault="00446150" w:rsidP="00566C50">
            <w:pPr>
              <w:rPr>
                <w:rFonts w:ascii="Times New Roman" w:hAnsi="Times New Roman" w:cs="Times New Roman"/>
                <w:color w:val="auto"/>
                <w:sz w:val="24"/>
                <w:szCs w:val="24"/>
                <w:lang w:eastAsia="en-AU"/>
              </w:rPr>
            </w:pPr>
            <w:r w:rsidRPr="79E4B837">
              <w:rPr>
                <w:lang w:eastAsia="en-AU"/>
              </w:rPr>
              <w:t>$13.16</w:t>
            </w:r>
            <w:r w:rsidRPr="79E4B837">
              <w:rPr>
                <w:color w:val="auto"/>
                <w:lang w:eastAsia="en-AU"/>
              </w:rPr>
              <w:t> </w:t>
            </w:r>
          </w:p>
        </w:tc>
      </w:tr>
    </w:tbl>
    <w:p w14:paraId="597B3B30" w14:textId="77777777" w:rsidR="00446150" w:rsidRPr="00751D14" w:rsidRDefault="00446150" w:rsidP="00566C50">
      <w:pPr>
        <w:pStyle w:val="Heading5"/>
        <w:rPr>
          <w:b/>
          <w:lang w:val="en-US" w:eastAsia="en-AU"/>
        </w:rPr>
      </w:pPr>
      <w:r w:rsidRPr="00796BCD">
        <w:rPr>
          <w:i w:val="0"/>
          <w:lang w:eastAsia="en-AU"/>
        </w:rPr>
        <w:t>Table 2: Comparison of registrations and expenditure by organisation size</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446150" w:rsidRPr="0041136F" w14:paraId="77659BDA" w14:textId="77777777" w:rsidTr="00566C50">
        <w:trPr>
          <w:trHeight w:val="300"/>
        </w:trPr>
        <w:tc>
          <w:tcPr>
            <w:tcW w:w="3119" w:type="dxa"/>
            <w:shd w:val="clear" w:color="auto" w:fill="auto"/>
            <w:vAlign w:val="bottom"/>
            <w:hideMark/>
          </w:tcPr>
          <w:p w14:paraId="679A7C13" w14:textId="77777777" w:rsidR="00446150" w:rsidRPr="0041136F" w:rsidRDefault="00446150" w:rsidP="00566C50">
            <w:pPr>
              <w:pStyle w:val="FigureHeading"/>
              <w:rPr>
                <w:rFonts w:ascii="Times New Roman" w:hAnsi="Times New Roman" w:cs="Times New Roman"/>
                <w:sz w:val="24"/>
                <w:szCs w:val="24"/>
                <w:lang w:eastAsia="en-AU"/>
              </w:rPr>
            </w:pPr>
            <w:r>
              <w:rPr>
                <w:lang w:eastAsia="en-AU"/>
              </w:rPr>
              <w:t>registrations/expenditure</w:t>
            </w:r>
          </w:p>
        </w:tc>
        <w:tc>
          <w:tcPr>
            <w:tcW w:w="2055" w:type="dxa"/>
            <w:shd w:val="clear" w:color="auto" w:fill="auto"/>
            <w:vAlign w:val="center"/>
            <w:hideMark/>
          </w:tcPr>
          <w:p w14:paraId="2C96C45D" w14:textId="77777777" w:rsidR="00446150" w:rsidRPr="0041136F" w:rsidRDefault="00446150" w:rsidP="00566C50">
            <w:pPr>
              <w:pStyle w:val="FigureHeading"/>
              <w:jc w:val="center"/>
              <w:rPr>
                <w:rFonts w:ascii="Times New Roman" w:hAnsi="Times New Roman" w:cs="Times New Roman"/>
                <w:sz w:val="24"/>
                <w:szCs w:val="24"/>
                <w:lang w:eastAsia="en-AU"/>
              </w:rPr>
            </w:pPr>
            <w:r w:rsidRPr="79E4B837">
              <w:rPr>
                <w:lang w:eastAsia="en-AU"/>
              </w:rPr>
              <w:t>SMEs</w:t>
            </w:r>
          </w:p>
        </w:tc>
        <w:tc>
          <w:tcPr>
            <w:tcW w:w="2056" w:type="dxa"/>
            <w:shd w:val="clear" w:color="auto" w:fill="auto"/>
            <w:vAlign w:val="center"/>
            <w:hideMark/>
          </w:tcPr>
          <w:p w14:paraId="2EF7E6FF" w14:textId="77777777" w:rsidR="00446150" w:rsidRPr="0041136F" w:rsidRDefault="00446150" w:rsidP="00566C50">
            <w:pPr>
              <w:pStyle w:val="FigureHeading"/>
              <w:jc w:val="center"/>
              <w:rPr>
                <w:rFonts w:ascii="Times New Roman" w:hAnsi="Times New Roman" w:cs="Times New Roman"/>
                <w:sz w:val="24"/>
                <w:szCs w:val="24"/>
                <w:lang w:eastAsia="en-AU"/>
              </w:rPr>
            </w:pPr>
            <w:r w:rsidRPr="79E4B837">
              <w:rPr>
                <w:lang w:eastAsia="en-AU"/>
              </w:rPr>
              <w:t>Large Companies</w:t>
            </w:r>
          </w:p>
        </w:tc>
      </w:tr>
      <w:tr w:rsidR="00446150" w:rsidRPr="0041136F" w14:paraId="7F96BE46" w14:textId="77777777" w:rsidTr="00566C50">
        <w:trPr>
          <w:trHeight w:val="300"/>
        </w:trPr>
        <w:tc>
          <w:tcPr>
            <w:tcW w:w="3119" w:type="dxa"/>
            <w:shd w:val="clear" w:color="auto" w:fill="auto"/>
            <w:vAlign w:val="bottom"/>
            <w:hideMark/>
          </w:tcPr>
          <w:p w14:paraId="1018E486" w14:textId="77777777" w:rsidR="00446150" w:rsidRPr="0041136F" w:rsidRDefault="00446150" w:rsidP="00566C50">
            <w:pPr>
              <w:rPr>
                <w:rFonts w:ascii="Times New Roman" w:hAnsi="Times New Roman" w:cs="Times New Roman"/>
                <w:color w:val="auto"/>
                <w:sz w:val="24"/>
                <w:szCs w:val="24"/>
                <w:lang w:eastAsia="en-AU"/>
              </w:rPr>
            </w:pPr>
            <w:r w:rsidRPr="79E4B837">
              <w:rPr>
                <w:lang w:eastAsia="en-AU"/>
              </w:rPr>
              <w:t>Number of Registrations</w:t>
            </w:r>
            <w:r w:rsidRPr="79E4B837">
              <w:rPr>
                <w:color w:val="auto"/>
                <w:lang w:eastAsia="en-AU"/>
              </w:rPr>
              <w:t> </w:t>
            </w:r>
          </w:p>
        </w:tc>
        <w:tc>
          <w:tcPr>
            <w:tcW w:w="2055" w:type="dxa"/>
            <w:shd w:val="clear" w:color="auto" w:fill="auto"/>
            <w:vAlign w:val="center"/>
            <w:hideMark/>
          </w:tcPr>
          <w:p w14:paraId="26039291" w14:textId="77777777" w:rsidR="00446150" w:rsidRPr="0041136F" w:rsidRDefault="00446150" w:rsidP="00566C50">
            <w:pPr>
              <w:jc w:val="center"/>
              <w:rPr>
                <w:rFonts w:ascii="Times New Roman" w:hAnsi="Times New Roman" w:cs="Times New Roman"/>
                <w:color w:val="auto"/>
                <w:sz w:val="24"/>
                <w:szCs w:val="24"/>
                <w:lang w:eastAsia="en-AU"/>
              </w:rPr>
            </w:pPr>
            <w:r w:rsidRPr="79E4B837">
              <w:rPr>
                <w:lang w:eastAsia="en-AU"/>
              </w:rPr>
              <w:t>10,788</w:t>
            </w:r>
          </w:p>
        </w:tc>
        <w:tc>
          <w:tcPr>
            <w:tcW w:w="2056" w:type="dxa"/>
            <w:shd w:val="clear" w:color="auto" w:fill="auto"/>
            <w:vAlign w:val="center"/>
            <w:hideMark/>
          </w:tcPr>
          <w:p w14:paraId="721A8CC1" w14:textId="77777777" w:rsidR="00446150" w:rsidRPr="0041136F" w:rsidRDefault="00446150" w:rsidP="00566C50">
            <w:pPr>
              <w:jc w:val="center"/>
              <w:rPr>
                <w:rFonts w:ascii="Times New Roman" w:hAnsi="Times New Roman" w:cs="Times New Roman"/>
                <w:color w:val="auto"/>
                <w:sz w:val="24"/>
                <w:szCs w:val="24"/>
                <w:lang w:eastAsia="en-AU"/>
              </w:rPr>
            </w:pPr>
            <w:r w:rsidRPr="79E4B837">
              <w:rPr>
                <w:lang w:eastAsia="en-AU"/>
              </w:rPr>
              <w:t>1,500</w:t>
            </w:r>
          </w:p>
        </w:tc>
      </w:tr>
      <w:tr w:rsidR="00446150" w:rsidRPr="0041136F" w14:paraId="39086E7A" w14:textId="77777777" w:rsidTr="00566C50">
        <w:trPr>
          <w:trHeight w:val="300"/>
        </w:trPr>
        <w:tc>
          <w:tcPr>
            <w:tcW w:w="3119" w:type="dxa"/>
            <w:tcBorders>
              <w:bottom w:val="single" w:sz="4" w:space="0" w:color="auto"/>
            </w:tcBorders>
            <w:shd w:val="clear" w:color="auto" w:fill="auto"/>
            <w:vAlign w:val="bottom"/>
            <w:hideMark/>
          </w:tcPr>
          <w:p w14:paraId="550E6E80" w14:textId="77777777" w:rsidR="00446150" w:rsidRPr="0041136F" w:rsidRDefault="00446150" w:rsidP="00566C50">
            <w:pPr>
              <w:rPr>
                <w:rFonts w:ascii="Times New Roman" w:hAnsi="Times New Roman" w:cs="Times New Roman"/>
                <w:color w:val="auto"/>
                <w:sz w:val="24"/>
                <w:szCs w:val="24"/>
                <w:lang w:eastAsia="en-AU"/>
              </w:rPr>
            </w:pPr>
            <w:r>
              <w:rPr>
                <w:lang w:eastAsia="en-AU"/>
              </w:rPr>
              <w:t>R&amp;D E</w:t>
            </w:r>
            <w:r w:rsidRPr="79E4B837">
              <w:rPr>
                <w:lang w:eastAsia="en-AU"/>
              </w:rPr>
              <w:t>xpenditure (</w:t>
            </w:r>
            <w:r w:rsidRPr="79E4B837">
              <w:rPr>
                <w:b/>
                <w:bCs/>
                <w:lang w:eastAsia="en-AU"/>
              </w:rPr>
              <w:t>billion</w:t>
            </w:r>
            <w:r w:rsidRPr="79E4B837">
              <w:rPr>
                <w:lang w:eastAsia="en-AU"/>
              </w:rPr>
              <w:t>)</w:t>
            </w:r>
            <w:r w:rsidRPr="79E4B837">
              <w:rPr>
                <w:color w:val="auto"/>
                <w:lang w:eastAsia="en-AU"/>
              </w:rPr>
              <w:t> </w:t>
            </w:r>
          </w:p>
        </w:tc>
        <w:tc>
          <w:tcPr>
            <w:tcW w:w="2055" w:type="dxa"/>
            <w:tcBorders>
              <w:bottom w:val="single" w:sz="4" w:space="0" w:color="auto"/>
            </w:tcBorders>
            <w:shd w:val="clear" w:color="auto" w:fill="auto"/>
            <w:vAlign w:val="center"/>
            <w:hideMark/>
          </w:tcPr>
          <w:p w14:paraId="25B21412" w14:textId="77777777" w:rsidR="00446150" w:rsidRPr="0041136F" w:rsidRDefault="00446150" w:rsidP="00566C50">
            <w:pPr>
              <w:jc w:val="center"/>
              <w:rPr>
                <w:rFonts w:ascii="Times New Roman" w:hAnsi="Times New Roman" w:cs="Times New Roman"/>
                <w:color w:val="auto"/>
                <w:sz w:val="24"/>
                <w:szCs w:val="24"/>
                <w:lang w:eastAsia="en-AU"/>
              </w:rPr>
            </w:pPr>
            <w:r w:rsidRPr="79E4B837">
              <w:rPr>
                <w:lang w:eastAsia="en-AU"/>
              </w:rPr>
              <w:t>$6.87</w:t>
            </w:r>
          </w:p>
        </w:tc>
        <w:tc>
          <w:tcPr>
            <w:tcW w:w="2056" w:type="dxa"/>
            <w:tcBorders>
              <w:bottom w:val="single" w:sz="4" w:space="0" w:color="auto"/>
            </w:tcBorders>
            <w:shd w:val="clear" w:color="auto" w:fill="auto"/>
            <w:vAlign w:val="center"/>
            <w:hideMark/>
          </w:tcPr>
          <w:p w14:paraId="3BB8BBC6" w14:textId="77777777" w:rsidR="00446150" w:rsidRPr="0041136F" w:rsidRDefault="00446150" w:rsidP="00566C50">
            <w:pPr>
              <w:jc w:val="center"/>
              <w:rPr>
                <w:rFonts w:ascii="Times New Roman" w:hAnsi="Times New Roman" w:cs="Times New Roman"/>
                <w:color w:val="auto"/>
                <w:sz w:val="24"/>
                <w:szCs w:val="24"/>
                <w:lang w:eastAsia="en-AU"/>
              </w:rPr>
            </w:pPr>
            <w:r w:rsidRPr="79E4B837">
              <w:rPr>
                <w:lang w:eastAsia="en-AU"/>
              </w:rPr>
              <w:t>$6.29</w:t>
            </w:r>
          </w:p>
        </w:tc>
      </w:tr>
    </w:tbl>
    <w:p w14:paraId="1383061B" w14:textId="77777777" w:rsidR="00446150" w:rsidRPr="00751D14" w:rsidRDefault="00446150" w:rsidP="00566C50">
      <w:pPr>
        <w:pStyle w:val="Heading5"/>
        <w:rPr>
          <w:b/>
          <w:lang w:val="en-US" w:eastAsia="en-AU"/>
        </w:rPr>
      </w:pPr>
      <w:r>
        <w:rPr>
          <w:i w:val="0"/>
          <w:lang w:eastAsia="en-AU"/>
        </w:rPr>
        <w:t>Table 3</w:t>
      </w:r>
      <w:r w:rsidRPr="00796BCD">
        <w:rPr>
          <w:i w:val="0"/>
          <w:lang w:eastAsia="en-AU"/>
        </w:rPr>
        <w:t xml:space="preserve">: </w:t>
      </w:r>
      <w:r>
        <w:rPr>
          <w:i w:val="0"/>
          <w:lang w:eastAsia="en-AU"/>
        </w:rPr>
        <w:t>Overall claims for the full 2020/21 financial year (ATO)</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446150" w:rsidRPr="0041136F" w14:paraId="0148C752" w14:textId="77777777" w:rsidTr="00566C50">
        <w:trPr>
          <w:trHeight w:val="300"/>
        </w:trPr>
        <w:tc>
          <w:tcPr>
            <w:tcW w:w="3119" w:type="dxa"/>
            <w:shd w:val="clear" w:color="auto" w:fill="auto"/>
            <w:vAlign w:val="bottom"/>
            <w:hideMark/>
          </w:tcPr>
          <w:p w14:paraId="248DEDBC" w14:textId="77777777" w:rsidR="00446150" w:rsidRPr="0041136F" w:rsidRDefault="00446150" w:rsidP="00566C50">
            <w:pPr>
              <w:pStyle w:val="FigureHeading"/>
              <w:rPr>
                <w:rFonts w:ascii="Times New Roman" w:hAnsi="Times New Roman" w:cs="Times New Roman"/>
                <w:sz w:val="24"/>
                <w:szCs w:val="24"/>
                <w:lang w:eastAsia="en-AU"/>
              </w:rPr>
            </w:pPr>
            <w:r>
              <w:rPr>
                <w:lang w:eastAsia="en-AU"/>
              </w:rPr>
              <w:t>claims/expenditure</w:t>
            </w:r>
          </w:p>
        </w:tc>
        <w:tc>
          <w:tcPr>
            <w:tcW w:w="2055" w:type="dxa"/>
            <w:shd w:val="clear" w:color="auto" w:fill="auto"/>
            <w:vAlign w:val="center"/>
            <w:hideMark/>
          </w:tcPr>
          <w:p w14:paraId="73E61A6A" w14:textId="77777777" w:rsidR="00446150" w:rsidRPr="0041136F" w:rsidRDefault="00446150" w:rsidP="00566C50">
            <w:pPr>
              <w:pStyle w:val="FigureHeading"/>
              <w:jc w:val="center"/>
              <w:rPr>
                <w:rFonts w:ascii="Times New Roman" w:hAnsi="Times New Roman" w:cs="Times New Roman"/>
                <w:sz w:val="24"/>
                <w:szCs w:val="24"/>
                <w:lang w:eastAsia="en-AU"/>
              </w:rPr>
            </w:pPr>
            <w:r>
              <w:rPr>
                <w:lang w:eastAsia="en-AU"/>
              </w:rPr>
              <w:t>refundable</w:t>
            </w:r>
          </w:p>
        </w:tc>
        <w:tc>
          <w:tcPr>
            <w:tcW w:w="2056" w:type="dxa"/>
            <w:shd w:val="clear" w:color="auto" w:fill="auto"/>
            <w:vAlign w:val="center"/>
            <w:hideMark/>
          </w:tcPr>
          <w:p w14:paraId="5D903B88" w14:textId="77777777" w:rsidR="00446150" w:rsidRPr="0041136F" w:rsidRDefault="00446150" w:rsidP="00566C50">
            <w:pPr>
              <w:pStyle w:val="FigureHeading"/>
              <w:jc w:val="center"/>
              <w:rPr>
                <w:rFonts w:ascii="Times New Roman" w:hAnsi="Times New Roman" w:cs="Times New Roman"/>
                <w:sz w:val="24"/>
                <w:szCs w:val="24"/>
                <w:lang w:eastAsia="en-AU"/>
              </w:rPr>
            </w:pPr>
            <w:r>
              <w:rPr>
                <w:lang w:eastAsia="en-AU"/>
              </w:rPr>
              <w:t>non-refundable</w:t>
            </w:r>
          </w:p>
        </w:tc>
      </w:tr>
      <w:tr w:rsidR="00446150" w:rsidRPr="0041136F" w14:paraId="4604DC84" w14:textId="77777777" w:rsidTr="00566C50">
        <w:trPr>
          <w:trHeight w:val="300"/>
        </w:trPr>
        <w:tc>
          <w:tcPr>
            <w:tcW w:w="3119" w:type="dxa"/>
            <w:shd w:val="clear" w:color="auto" w:fill="auto"/>
            <w:vAlign w:val="bottom"/>
            <w:hideMark/>
          </w:tcPr>
          <w:p w14:paraId="60135261" w14:textId="77777777" w:rsidR="00446150" w:rsidRPr="0041136F" w:rsidRDefault="00446150" w:rsidP="00566C50">
            <w:pPr>
              <w:rPr>
                <w:rFonts w:ascii="Times New Roman" w:hAnsi="Times New Roman" w:cs="Times New Roman"/>
                <w:color w:val="auto"/>
                <w:sz w:val="24"/>
                <w:szCs w:val="24"/>
                <w:lang w:eastAsia="en-AU"/>
              </w:rPr>
            </w:pPr>
            <w:r>
              <w:rPr>
                <w:lang w:eastAsia="en-AU"/>
              </w:rPr>
              <w:t>Number of Claims</w:t>
            </w:r>
          </w:p>
        </w:tc>
        <w:tc>
          <w:tcPr>
            <w:tcW w:w="2055" w:type="dxa"/>
            <w:shd w:val="clear" w:color="auto" w:fill="auto"/>
            <w:vAlign w:val="center"/>
            <w:hideMark/>
          </w:tcPr>
          <w:p w14:paraId="604C38EA" w14:textId="77777777" w:rsidR="00446150" w:rsidRPr="0041136F" w:rsidRDefault="00446150" w:rsidP="00566C50">
            <w:pPr>
              <w:jc w:val="center"/>
              <w:rPr>
                <w:rFonts w:ascii="Times New Roman" w:hAnsi="Times New Roman" w:cs="Times New Roman"/>
                <w:color w:val="auto"/>
                <w:sz w:val="24"/>
                <w:szCs w:val="24"/>
                <w:lang w:eastAsia="en-AU"/>
              </w:rPr>
            </w:pPr>
            <w:r>
              <w:rPr>
                <w:lang w:eastAsia="en-AU"/>
              </w:rPr>
              <w:t>11,639</w:t>
            </w:r>
          </w:p>
        </w:tc>
        <w:tc>
          <w:tcPr>
            <w:tcW w:w="2056" w:type="dxa"/>
            <w:shd w:val="clear" w:color="auto" w:fill="auto"/>
            <w:vAlign w:val="center"/>
            <w:hideMark/>
          </w:tcPr>
          <w:p w14:paraId="673060F7" w14:textId="77777777" w:rsidR="00446150" w:rsidRPr="0041136F" w:rsidRDefault="00446150" w:rsidP="00566C50">
            <w:pPr>
              <w:jc w:val="center"/>
              <w:rPr>
                <w:rFonts w:ascii="Times New Roman" w:hAnsi="Times New Roman" w:cs="Times New Roman"/>
                <w:color w:val="auto"/>
                <w:sz w:val="24"/>
                <w:szCs w:val="24"/>
                <w:lang w:eastAsia="en-AU"/>
              </w:rPr>
            </w:pPr>
            <w:r>
              <w:rPr>
                <w:lang w:eastAsia="en-AU"/>
              </w:rPr>
              <w:t>1,488</w:t>
            </w:r>
          </w:p>
        </w:tc>
      </w:tr>
      <w:tr w:rsidR="00446150" w:rsidRPr="0041136F" w14:paraId="0F34444B" w14:textId="77777777" w:rsidTr="00566C50">
        <w:trPr>
          <w:trHeight w:val="300"/>
        </w:trPr>
        <w:tc>
          <w:tcPr>
            <w:tcW w:w="3119" w:type="dxa"/>
            <w:tcBorders>
              <w:bottom w:val="single" w:sz="4" w:space="0" w:color="auto"/>
            </w:tcBorders>
            <w:shd w:val="clear" w:color="auto" w:fill="auto"/>
            <w:vAlign w:val="bottom"/>
            <w:hideMark/>
          </w:tcPr>
          <w:p w14:paraId="438C864D" w14:textId="77777777" w:rsidR="00446150" w:rsidRPr="0041136F" w:rsidRDefault="00446150" w:rsidP="00566C50">
            <w:pPr>
              <w:rPr>
                <w:rFonts w:ascii="Times New Roman" w:hAnsi="Times New Roman" w:cs="Times New Roman"/>
                <w:color w:val="auto"/>
                <w:sz w:val="24"/>
                <w:szCs w:val="24"/>
                <w:lang w:eastAsia="en-AU"/>
              </w:rPr>
            </w:pPr>
            <w:r>
              <w:rPr>
                <w:lang w:eastAsia="en-AU"/>
              </w:rPr>
              <w:t xml:space="preserve">Offset paid or applied </w:t>
            </w:r>
            <w:r w:rsidRPr="79E4B837">
              <w:rPr>
                <w:lang w:eastAsia="en-AU"/>
              </w:rPr>
              <w:t>(</w:t>
            </w:r>
            <w:r w:rsidRPr="79E4B837">
              <w:rPr>
                <w:b/>
                <w:bCs/>
                <w:lang w:eastAsia="en-AU"/>
              </w:rPr>
              <w:t>billion</w:t>
            </w:r>
            <w:r w:rsidRPr="79E4B837">
              <w:rPr>
                <w:lang w:eastAsia="en-AU"/>
              </w:rPr>
              <w:t>)</w:t>
            </w:r>
            <w:r w:rsidRPr="79E4B837">
              <w:rPr>
                <w:color w:val="auto"/>
                <w:lang w:eastAsia="en-AU"/>
              </w:rPr>
              <w:t> </w:t>
            </w:r>
          </w:p>
        </w:tc>
        <w:tc>
          <w:tcPr>
            <w:tcW w:w="2055" w:type="dxa"/>
            <w:tcBorders>
              <w:bottom w:val="single" w:sz="4" w:space="0" w:color="auto"/>
            </w:tcBorders>
            <w:shd w:val="clear" w:color="auto" w:fill="auto"/>
            <w:vAlign w:val="center"/>
            <w:hideMark/>
          </w:tcPr>
          <w:p w14:paraId="0109035B" w14:textId="77777777" w:rsidR="00446150" w:rsidRPr="0041136F" w:rsidRDefault="00446150" w:rsidP="00566C50">
            <w:pPr>
              <w:jc w:val="center"/>
              <w:rPr>
                <w:rFonts w:ascii="Times New Roman" w:hAnsi="Times New Roman" w:cs="Times New Roman"/>
                <w:color w:val="auto"/>
                <w:sz w:val="24"/>
                <w:szCs w:val="24"/>
                <w:lang w:eastAsia="en-AU"/>
              </w:rPr>
            </w:pPr>
            <w:r>
              <w:rPr>
                <w:lang w:eastAsia="en-AU"/>
              </w:rPr>
              <w:t>$2.7</w:t>
            </w:r>
          </w:p>
        </w:tc>
        <w:tc>
          <w:tcPr>
            <w:tcW w:w="2056" w:type="dxa"/>
            <w:tcBorders>
              <w:bottom w:val="single" w:sz="4" w:space="0" w:color="auto"/>
            </w:tcBorders>
            <w:shd w:val="clear" w:color="auto" w:fill="auto"/>
            <w:vAlign w:val="center"/>
            <w:hideMark/>
          </w:tcPr>
          <w:p w14:paraId="51D26332" w14:textId="77777777" w:rsidR="00446150" w:rsidRPr="0041136F" w:rsidRDefault="00446150" w:rsidP="00566C50">
            <w:pPr>
              <w:jc w:val="center"/>
              <w:rPr>
                <w:rFonts w:ascii="Times New Roman" w:hAnsi="Times New Roman" w:cs="Times New Roman"/>
                <w:color w:val="auto"/>
                <w:sz w:val="24"/>
                <w:szCs w:val="24"/>
                <w:lang w:eastAsia="en-AU"/>
              </w:rPr>
            </w:pPr>
            <w:r>
              <w:rPr>
                <w:lang w:eastAsia="en-AU"/>
              </w:rPr>
              <w:t>$2.2</w:t>
            </w:r>
          </w:p>
        </w:tc>
      </w:tr>
    </w:tbl>
    <w:p w14:paraId="632CA8FE" w14:textId="77777777" w:rsidR="00446150" w:rsidRDefault="00446150" w:rsidP="00566C50">
      <w:pPr>
        <w:rPr>
          <w:color w:val="auto"/>
          <w:lang w:val="en-US" w:eastAsia="en-AU"/>
        </w:rPr>
      </w:pPr>
    </w:p>
    <w:p w14:paraId="435BF782" w14:textId="77777777" w:rsidR="00446150" w:rsidRDefault="00446150" w:rsidP="00566C50">
      <w:pPr>
        <w:rPr>
          <w:rFonts w:asciiTheme="majorHAnsi" w:eastAsiaTheme="majorEastAsia" w:hAnsiTheme="majorHAnsi" w:cstheme="majorBidi"/>
          <w:color w:val="264F90" w:themeColor="accent2"/>
          <w:szCs w:val="24"/>
          <w:lang w:eastAsia="en-AU"/>
        </w:rPr>
      </w:pPr>
      <w:r>
        <w:rPr>
          <w:color w:val="auto"/>
          <w:lang w:val="en-US" w:eastAsia="en-AU"/>
        </w:rPr>
        <w:t xml:space="preserve">For tables 4 to 11, ‘E,G,W&amp;WS’ denotes </w:t>
      </w:r>
      <w:r w:rsidRPr="009B1EC8">
        <w:rPr>
          <w:color w:val="auto"/>
          <w:lang w:val="en-US" w:eastAsia="en-AU"/>
        </w:rPr>
        <w:t>Electricity, Gas, Water &amp; Waste Services</w:t>
      </w:r>
      <w:r>
        <w:rPr>
          <w:color w:val="auto"/>
          <w:lang w:val="en-US" w:eastAsia="en-AU"/>
        </w:rPr>
        <w:t>.</w:t>
      </w:r>
      <w:r>
        <w:rPr>
          <w:lang w:eastAsia="en-AU"/>
        </w:rPr>
        <w:t xml:space="preserve"> </w:t>
      </w:r>
      <w:r>
        <w:rPr>
          <w:lang w:eastAsia="en-AU"/>
        </w:rPr>
        <w:br w:type="page"/>
      </w:r>
    </w:p>
    <w:p w14:paraId="3A330AE5" w14:textId="77777777" w:rsidR="00446150" w:rsidRDefault="00446150" w:rsidP="00566C50">
      <w:pPr>
        <w:pStyle w:val="Heading5"/>
        <w:rPr>
          <w:lang w:eastAsia="en-AU"/>
        </w:rPr>
      </w:pPr>
      <w:r>
        <w:rPr>
          <w:i w:val="0"/>
          <w:lang w:eastAsia="en-AU"/>
        </w:rPr>
        <w:lastRenderedPageBreak/>
        <w:t>Table 4</w:t>
      </w:r>
      <w:r w:rsidRPr="00796BCD">
        <w:rPr>
          <w:i w:val="0"/>
          <w:lang w:eastAsia="en-AU"/>
        </w:rPr>
        <w:t>: Comparison by sector – Australia-wide</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446150" w:rsidRPr="0041136F" w14:paraId="685C221B" w14:textId="77777777" w:rsidTr="00566C50">
        <w:trPr>
          <w:trHeight w:val="300"/>
        </w:trPr>
        <w:tc>
          <w:tcPr>
            <w:tcW w:w="2268" w:type="dxa"/>
            <w:shd w:val="clear" w:color="auto" w:fill="auto"/>
            <w:vAlign w:val="bottom"/>
            <w:hideMark/>
          </w:tcPr>
          <w:p w14:paraId="5335D6C5" w14:textId="77777777" w:rsidR="00446150" w:rsidRPr="0041136F" w:rsidRDefault="00446150" w:rsidP="00566C50">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537D2CC4"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042B35F2"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08C1371F"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776C4832" w14:textId="77777777" w:rsidR="00446150" w:rsidRPr="0041136F" w:rsidRDefault="00446150" w:rsidP="00566C50">
            <w:pPr>
              <w:pStyle w:val="TableHeading"/>
              <w:jc w:val="center"/>
              <w:rPr>
                <w:lang w:eastAsia="en-AU"/>
              </w:rPr>
            </w:pPr>
            <w:r w:rsidRPr="79E4B837">
              <w:rPr>
                <w:lang w:eastAsia="en-AU"/>
              </w:rPr>
              <w:t>Mining</w:t>
            </w:r>
          </w:p>
        </w:tc>
        <w:tc>
          <w:tcPr>
            <w:tcW w:w="1645" w:type="dxa"/>
            <w:shd w:val="clear" w:color="auto" w:fill="auto"/>
            <w:vAlign w:val="center"/>
            <w:hideMark/>
          </w:tcPr>
          <w:p w14:paraId="101A9F40"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E,G,W &amp; WS*</w:t>
            </w:r>
          </w:p>
        </w:tc>
      </w:tr>
      <w:tr w:rsidR="00446150" w:rsidRPr="0041136F" w14:paraId="39672E7D" w14:textId="77777777" w:rsidTr="00566C50">
        <w:trPr>
          <w:trHeight w:val="300"/>
        </w:trPr>
        <w:tc>
          <w:tcPr>
            <w:tcW w:w="2268" w:type="dxa"/>
            <w:shd w:val="clear" w:color="auto" w:fill="auto"/>
            <w:vAlign w:val="bottom"/>
            <w:hideMark/>
          </w:tcPr>
          <w:p w14:paraId="31954711"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center"/>
            <w:hideMark/>
          </w:tcPr>
          <w:p w14:paraId="46D4282C"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7,601</w:t>
            </w:r>
          </w:p>
        </w:tc>
        <w:tc>
          <w:tcPr>
            <w:tcW w:w="1842" w:type="dxa"/>
            <w:shd w:val="clear" w:color="auto" w:fill="auto"/>
            <w:vAlign w:val="center"/>
            <w:hideMark/>
          </w:tcPr>
          <w:p w14:paraId="54160762"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3,492</w:t>
            </w:r>
          </w:p>
        </w:tc>
        <w:tc>
          <w:tcPr>
            <w:tcW w:w="1531" w:type="dxa"/>
            <w:shd w:val="clear" w:color="auto" w:fill="auto"/>
            <w:vAlign w:val="center"/>
          </w:tcPr>
          <w:p w14:paraId="6C262DEA"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507</w:t>
            </w:r>
          </w:p>
        </w:tc>
        <w:tc>
          <w:tcPr>
            <w:tcW w:w="1644" w:type="dxa"/>
            <w:shd w:val="clear" w:color="auto" w:fill="auto"/>
            <w:vAlign w:val="center"/>
          </w:tcPr>
          <w:p w14:paraId="0FBC58C1" w14:textId="77777777" w:rsidR="00446150" w:rsidRDefault="00446150" w:rsidP="00566C50">
            <w:pPr>
              <w:jc w:val="center"/>
              <w:rPr>
                <w:rFonts w:ascii="Calibri" w:eastAsia="Times New Roman" w:hAnsi="Calibri" w:cs="Calibri"/>
                <w:lang w:eastAsia="en-AU"/>
              </w:rPr>
            </w:pPr>
            <w:r w:rsidRPr="79E4B837">
              <w:rPr>
                <w:rFonts w:ascii="Calibri" w:eastAsia="Times New Roman" w:hAnsi="Calibri" w:cs="Calibri"/>
                <w:lang w:eastAsia="en-AU"/>
              </w:rPr>
              <w:t>410</w:t>
            </w:r>
          </w:p>
        </w:tc>
        <w:tc>
          <w:tcPr>
            <w:tcW w:w="1645" w:type="dxa"/>
            <w:shd w:val="clear" w:color="auto" w:fill="auto"/>
            <w:vAlign w:val="center"/>
            <w:hideMark/>
          </w:tcPr>
          <w:p w14:paraId="47A5A992"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278</w:t>
            </w:r>
          </w:p>
        </w:tc>
      </w:tr>
      <w:tr w:rsidR="00446150" w:rsidRPr="0041136F" w14:paraId="08ACF1DF" w14:textId="77777777" w:rsidTr="00566C50">
        <w:trPr>
          <w:trHeight w:val="300"/>
        </w:trPr>
        <w:tc>
          <w:tcPr>
            <w:tcW w:w="2268" w:type="dxa"/>
            <w:tcBorders>
              <w:bottom w:val="single" w:sz="4" w:space="0" w:color="auto"/>
            </w:tcBorders>
            <w:shd w:val="clear" w:color="auto" w:fill="auto"/>
            <w:vAlign w:val="bottom"/>
            <w:hideMark/>
          </w:tcPr>
          <w:p w14:paraId="466F5331"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center"/>
            <w:hideMark/>
          </w:tcPr>
          <w:p w14:paraId="37D75A3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$7,142</w:t>
            </w:r>
          </w:p>
        </w:tc>
        <w:tc>
          <w:tcPr>
            <w:tcW w:w="1842" w:type="dxa"/>
            <w:tcBorders>
              <w:bottom w:val="single" w:sz="4" w:space="0" w:color="auto"/>
            </w:tcBorders>
            <w:shd w:val="clear" w:color="auto" w:fill="auto"/>
            <w:vAlign w:val="center"/>
            <w:hideMark/>
          </w:tcPr>
          <w:p w14:paraId="5BACBA88"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$3,933</w:t>
            </w:r>
          </w:p>
        </w:tc>
        <w:tc>
          <w:tcPr>
            <w:tcW w:w="1531" w:type="dxa"/>
            <w:tcBorders>
              <w:bottom w:val="single" w:sz="4" w:space="0" w:color="auto"/>
            </w:tcBorders>
            <w:shd w:val="clear" w:color="auto" w:fill="auto"/>
            <w:vAlign w:val="center"/>
          </w:tcPr>
          <w:p w14:paraId="0C7CE959"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$534</w:t>
            </w:r>
          </w:p>
        </w:tc>
        <w:tc>
          <w:tcPr>
            <w:tcW w:w="1644" w:type="dxa"/>
            <w:tcBorders>
              <w:bottom w:val="single" w:sz="4" w:space="0" w:color="auto"/>
            </w:tcBorders>
            <w:shd w:val="clear" w:color="auto" w:fill="auto"/>
            <w:vAlign w:val="center"/>
          </w:tcPr>
          <w:p w14:paraId="2F10AB10" w14:textId="77777777" w:rsidR="00446150" w:rsidRPr="0041136F" w:rsidRDefault="00446150" w:rsidP="00566C50">
            <w:pPr>
              <w:jc w:val="center"/>
              <w:rPr>
                <w:rFonts w:ascii="Calibri" w:eastAsia="Times New Roman" w:hAnsi="Calibri" w:cs="Calibri"/>
                <w:lang w:eastAsia="en-AU"/>
              </w:rPr>
            </w:pPr>
            <w:r w:rsidRPr="79E4B837">
              <w:rPr>
                <w:rFonts w:ascii="Calibri" w:eastAsia="Times New Roman" w:hAnsi="Calibri" w:cs="Calibri"/>
                <w:lang w:eastAsia="en-AU"/>
              </w:rPr>
              <w:t>$1,216</w:t>
            </w:r>
          </w:p>
        </w:tc>
        <w:tc>
          <w:tcPr>
            <w:tcW w:w="1645" w:type="dxa"/>
            <w:tcBorders>
              <w:bottom w:val="single" w:sz="4" w:space="0" w:color="auto"/>
            </w:tcBorders>
            <w:shd w:val="clear" w:color="auto" w:fill="auto"/>
            <w:vAlign w:val="center"/>
            <w:hideMark/>
          </w:tcPr>
          <w:p w14:paraId="2D7F535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$338</w:t>
            </w:r>
          </w:p>
        </w:tc>
      </w:tr>
    </w:tbl>
    <w:p w14:paraId="6DC7B381" w14:textId="77777777" w:rsidR="00446150" w:rsidRPr="00F3534F" w:rsidRDefault="00446150" w:rsidP="00566C50">
      <w:pPr>
        <w:pStyle w:val="Heading5"/>
        <w:rPr>
          <w:i w:val="0"/>
          <w:lang w:eastAsia="en-AU"/>
        </w:rPr>
      </w:pPr>
      <w:r>
        <w:rPr>
          <w:i w:val="0"/>
          <w:lang w:eastAsia="en-AU"/>
        </w:rPr>
        <w:t xml:space="preserve">Table 5: </w:t>
      </w:r>
      <w:r w:rsidRPr="00F3534F">
        <w:rPr>
          <w:i w:val="0"/>
          <w:lang w:eastAsia="en-AU"/>
        </w:rPr>
        <w:t xml:space="preserve">Comparison by sector – NSW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446150" w:rsidRPr="0041136F" w14:paraId="64B05B56" w14:textId="77777777" w:rsidTr="00566C50">
        <w:trPr>
          <w:trHeight w:val="300"/>
        </w:trPr>
        <w:tc>
          <w:tcPr>
            <w:tcW w:w="2268" w:type="dxa"/>
            <w:shd w:val="clear" w:color="auto" w:fill="auto"/>
            <w:vAlign w:val="bottom"/>
            <w:hideMark/>
          </w:tcPr>
          <w:p w14:paraId="213E3E3F" w14:textId="77777777" w:rsidR="00446150" w:rsidRPr="0041136F" w:rsidRDefault="00446150" w:rsidP="00566C50">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6BE6BD64"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0DFCA29D"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2FF70920"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3325CAEC" w14:textId="77777777" w:rsidR="00446150" w:rsidRPr="0041136F" w:rsidRDefault="00446150" w:rsidP="00566C50">
            <w:pPr>
              <w:pStyle w:val="TableHeading"/>
              <w:jc w:val="center"/>
              <w:rPr>
                <w:lang w:eastAsia="en-AU"/>
              </w:rPr>
            </w:pPr>
            <w:r w:rsidRPr="79E4B837">
              <w:rPr>
                <w:lang w:eastAsia="en-AU"/>
              </w:rPr>
              <w:t>Mining</w:t>
            </w:r>
          </w:p>
        </w:tc>
        <w:tc>
          <w:tcPr>
            <w:tcW w:w="1645" w:type="dxa"/>
            <w:shd w:val="clear" w:color="auto" w:fill="auto"/>
            <w:vAlign w:val="center"/>
            <w:hideMark/>
          </w:tcPr>
          <w:p w14:paraId="4BE67F59"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E,G,W &amp; WS*</w:t>
            </w:r>
          </w:p>
        </w:tc>
      </w:tr>
      <w:tr w:rsidR="00446150" w:rsidRPr="0041136F" w14:paraId="210A84D7" w14:textId="77777777" w:rsidTr="00566C50">
        <w:trPr>
          <w:trHeight w:val="300"/>
        </w:trPr>
        <w:tc>
          <w:tcPr>
            <w:tcW w:w="2268" w:type="dxa"/>
            <w:shd w:val="clear" w:color="auto" w:fill="auto"/>
            <w:vAlign w:val="bottom"/>
            <w:hideMark/>
          </w:tcPr>
          <w:p w14:paraId="5CACE28F"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hideMark/>
          </w:tcPr>
          <w:p w14:paraId="6F7C6C80"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D316BF">
              <w:t>3,012</w:t>
            </w:r>
          </w:p>
        </w:tc>
        <w:tc>
          <w:tcPr>
            <w:tcW w:w="1842" w:type="dxa"/>
            <w:shd w:val="clear" w:color="auto" w:fill="auto"/>
            <w:hideMark/>
          </w:tcPr>
          <w:p w14:paraId="135B6190"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D316BF">
              <w:t>1,068</w:t>
            </w:r>
          </w:p>
        </w:tc>
        <w:tc>
          <w:tcPr>
            <w:tcW w:w="1531" w:type="dxa"/>
            <w:shd w:val="clear" w:color="auto" w:fill="auto"/>
          </w:tcPr>
          <w:p w14:paraId="33BA9CEB"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D316BF">
              <w:t>111</w:t>
            </w:r>
          </w:p>
        </w:tc>
        <w:tc>
          <w:tcPr>
            <w:tcW w:w="1644" w:type="dxa"/>
            <w:shd w:val="clear" w:color="auto" w:fill="auto"/>
          </w:tcPr>
          <w:p w14:paraId="1922A16A" w14:textId="77777777" w:rsidR="00446150" w:rsidRDefault="00446150" w:rsidP="00566C50">
            <w:pPr>
              <w:jc w:val="center"/>
              <w:rPr>
                <w:rFonts w:ascii="Calibri" w:eastAsia="Times New Roman" w:hAnsi="Calibri" w:cs="Calibri"/>
                <w:lang w:eastAsia="en-AU"/>
              </w:rPr>
            </w:pPr>
            <w:r w:rsidRPr="00D316BF">
              <w:t>91</w:t>
            </w:r>
          </w:p>
        </w:tc>
        <w:tc>
          <w:tcPr>
            <w:tcW w:w="1645" w:type="dxa"/>
            <w:shd w:val="clear" w:color="auto" w:fill="auto"/>
            <w:hideMark/>
          </w:tcPr>
          <w:p w14:paraId="60972244"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D316BF">
              <w:t>51</w:t>
            </w:r>
          </w:p>
        </w:tc>
      </w:tr>
      <w:tr w:rsidR="00446150" w:rsidRPr="0041136F" w14:paraId="2CB573AB" w14:textId="77777777" w:rsidTr="00566C50">
        <w:trPr>
          <w:trHeight w:val="300"/>
        </w:trPr>
        <w:tc>
          <w:tcPr>
            <w:tcW w:w="2268" w:type="dxa"/>
            <w:tcBorders>
              <w:bottom w:val="single" w:sz="4" w:space="0" w:color="auto"/>
            </w:tcBorders>
            <w:shd w:val="clear" w:color="auto" w:fill="auto"/>
            <w:vAlign w:val="bottom"/>
            <w:hideMark/>
          </w:tcPr>
          <w:p w14:paraId="2B96E26E"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hideMark/>
          </w:tcPr>
          <w:p w14:paraId="567963E3"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8C1625">
              <w:t xml:space="preserve">$3,315 </w:t>
            </w:r>
          </w:p>
        </w:tc>
        <w:tc>
          <w:tcPr>
            <w:tcW w:w="1842" w:type="dxa"/>
            <w:tcBorders>
              <w:bottom w:val="single" w:sz="4" w:space="0" w:color="auto"/>
            </w:tcBorders>
            <w:shd w:val="clear" w:color="auto" w:fill="auto"/>
            <w:hideMark/>
          </w:tcPr>
          <w:p w14:paraId="09F9D1B6"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8C1625">
              <w:t>$1,550</w:t>
            </w:r>
          </w:p>
        </w:tc>
        <w:tc>
          <w:tcPr>
            <w:tcW w:w="1531" w:type="dxa"/>
            <w:tcBorders>
              <w:bottom w:val="single" w:sz="4" w:space="0" w:color="auto"/>
            </w:tcBorders>
            <w:shd w:val="clear" w:color="auto" w:fill="auto"/>
          </w:tcPr>
          <w:p w14:paraId="4FEEE93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8C1625">
              <w:t xml:space="preserve">$93 </w:t>
            </w:r>
          </w:p>
        </w:tc>
        <w:tc>
          <w:tcPr>
            <w:tcW w:w="1644" w:type="dxa"/>
            <w:tcBorders>
              <w:bottom w:val="single" w:sz="4" w:space="0" w:color="auto"/>
            </w:tcBorders>
            <w:shd w:val="clear" w:color="auto" w:fill="auto"/>
          </w:tcPr>
          <w:p w14:paraId="1B75C25E" w14:textId="77777777" w:rsidR="00446150" w:rsidRPr="0041136F" w:rsidRDefault="00446150" w:rsidP="00566C50">
            <w:pPr>
              <w:jc w:val="center"/>
              <w:rPr>
                <w:rFonts w:ascii="Calibri" w:eastAsia="Times New Roman" w:hAnsi="Calibri" w:cs="Calibri"/>
                <w:lang w:eastAsia="en-AU"/>
              </w:rPr>
            </w:pPr>
            <w:r w:rsidRPr="008C1625">
              <w:t xml:space="preserve">$179 </w:t>
            </w:r>
          </w:p>
        </w:tc>
        <w:tc>
          <w:tcPr>
            <w:tcW w:w="1645" w:type="dxa"/>
            <w:tcBorders>
              <w:bottom w:val="single" w:sz="4" w:space="0" w:color="auto"/>
            </w:tcBorders>
            <w:shd w:val="clear" w:color="auto" w:fill="auto"/>
            <w:hideMark/>
          </w:tcPr>
          <w:p w14:paraId="0FAE4C65"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8C1625">
              <w:t>$116</w:t>
            </w:r>
          </w:p>
        </w:tc>
      </w:tr>
    </w:tbl>
    <w:p w14:paraId="48232AB5" w14:textId="77777777" w:rsidR="00446150" w:rsidRPr="00E64C42" w:rsidRDefault="00446150" w:rsidP="00566C50">
      <w:pPr>
        <w:pStyle w:val="Heading5"/>
        <w:rPr>
          <w:i w:val="0"/>
          <w:lang w:eastAsia="en-AU"/>
        </w:rPr>
      </w:pPr>
      <w:r>
        <w:rPr>
          <w:i w:val="0"/>
          <w:lang w:eastAsia="en-AU"/>
        </w:rPr>
        <w:t>Table 6: Compariso</w:t>
      </w:r>
      <w:r w:rsidRPr="00E64C42">
        <w:rPr>
          <w:i w:val="0"/>
          <w:lang w:eastAsia="en-AU"/>
        </w:rPr>
        <w:t xml:space="preserve">n by sector – VIC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446150" w:rsidRPr="0041136F" w14:paraId="71B0CD6C" w14:textId="77777777" w:rsidTr="00566C50">
        <w:trPr>
          <w:trHeight w:val="300"/>
        </w:trPr>
        <w:tc>
          <w:tcPr>
            <w:tcW w:w="2268" w:type="dxa"/>
            <w:shd w:val="clear" w:color="auto" w:fill="auto"/>
            <w:vAlign w:val="bottom"/>
            <w:hideMark/>
          </w:tcPr>
          <w:p w14:paraId="082A3574" w14:textId="77777777" w:rsidR="00446150" w:rsidRPr="0041136F" w:rsidRDefault="00446150" w:rsidP="00566C50">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5651527F"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08D6A430"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2D6574F2"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28442189" w14:textId="77777777" w:rsidR="00446150" w:rsidRPr="0041136F" w:rsidRDefault="00446150" w:rsidP="00566C50">
            <w:pPr>
              <w:pStyle w:val="TableHeading"/>
              <w:jc w:val="center"/>
              <w:rPr>
                <w:lang w:eastAsia="en-AU"/>
              </w:rPr>
            </w:pPr>
            <w:r w:rsidRPr="79E4B837">
              <w:rPr>
                <w:lang w:eastAsia="en-AU"/>
              </w:rPr>
              <w:t>Mining</w:t>
            </w:r>
          </w:p>
        </w:tc>
        <w:tc>
          <w:tcPr>
            <w:tcW w:w="1645" w:type="dxa"/>
            <w:shd w:val="clear" w:color="auto" w:fill="auto"/>
            <w:vAlign w:val="center"/>
            <w:hideMark/>
          </w:tcPr>
          <w:p w14:paraId="58C75265"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E,G,W &amp; WS*</w:t>
            </w:r>
          </w:p>
        </w:tc>
      </w:tr>
      <w:tr w:rsidR="00446150" w:rsidRPr="0041136F" w14:paraId="51231960" w14:textId="77777777" w:rsidTr="00566C50">
        <w:trPr>
          <w:trHeight w:val="300"/>
        </w:trPr>
        <w:tc>
          <w:tcPr>
            <w:tcW w:w="2268" w:type="dxa"/>
            <w:shd w:val="clear" w:color="auto" w:fill="auto"/>
            <w:vAlign w:val="bottom"/>
            <w:hideMark/>
          </w:tcPr>
          <w:p w14:paraId="26C5952F"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hideMark/>
          </w:tcPr>
          <w:p w14:paraId="04F8E3C0"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F57C2A">
              <w:t>2,258</w:t>
            </w:r>
          </w:p>
        </w:tc>
        <w:tc>
          <w:tcPr>
            <w:tcW w:w="1842" w:type="dxa"/>
            <w:shd w:val="clear" w:color="auto" w:fill="auto"/>
            <w:hideMark/>
          </w:tcPr>
          <w:p w14:paraId="5B45EEA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F57C2A">
              <w:t>1,052</w:t>
            </w:r>
          </w:p>
        </w:tc>
        <w:tc>
          <w:tcPr>
            <w:tcW w:w="1531" w:type="dxa"/>
            <w:shd w:val="clear" w:color="auto" w:fill="auto"/>
          </w:tcPr>
          <w:p w14:paraId="24E15576"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F57C2A">
              <w:t>106</w:t>
            </w:r>
          </w:p>
        </w:tc>
        <w:tc>
          <w:tcPr>
            <w:tcW w:w="1644" w:type="dxa"/>
            <w:shd w:val="clear" w:color="auto" w:fill="auto"/>
          </w:tcPr>
          <w:p w14:paraId="73984CB5" w14:textId="77777777" w:rsidR="00446150" w:rsidRDefault="00446150" w:rsidP="00566C50">
            <w:pPr>
              <w:jc w:val="center"/>
              <w:rPr>
                <w:rFonts w:ascii="Calibri" w:eastAsia="Times New Roman" w:hAnsi="Calibri" w:cs="Calibri"/>
                <w:lang w:eastAsia="en-AU"/>
              </w:rPr>
            </w:pPr>
            <w:r w:rsidRPr="00F57C2A">
              <w:t>56</w:t>
            </w:r>
          </w:p>
        </w:tc>
        <w:tc>
          <w:tcPr>
            <w:tcW w:w="1645" w:type="dxa"/>
            <w:shd w:val="clear" w:color="auto" w:fill="auto"/>
            <w:hideMark/>
          </w:tcPr>
          <w:p w14:paraId="34C3A87A"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F57C2A">
              <w:t>30</w:t>
            </w:r>
          </w:p>
        </w:tc>
      </w:tr>
      <w:tr w:rsidR="00446150" w:rsidRPr="0041136F" w14:paraId="539DFAFE" w14:textId="77777777" w:rsidTr="00566C50">
        <w:trPr>
          <w:trHeight w:val="300"/>
        </w:trPr>
        <w:tc>
          <w:tcPr>
            <w:tcW w:w="2268" w:type="dxa"/>
            <w:tcBorders>
              <w:bottom w:val="single" w:sz="4" w:space="0" w:color="auto"/>
            </w:tcBorders>
            <w:shd w:val="clear" w:color="auto" w:fill="auto"/>
            <w:vAlign w:val="bottom"/>
            <w:hideMark/>
          </w:tcPr>
          <w:p w14:paraId="4A915589"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hideMark/>
          </w:tcPr>
          <w:p w14:paraId="448B448F"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0D789A">
              <w:t>$2,281</w:t>
            </w:r>
          </w:p>
        </w:tc>
        <w:tc>
          <w:tcPr>
            <w:tcW w:w="1842" w:type="dxa"/>
            <w:tcBorders>
              <w:bottom w:val="single" w:sz="4" w:space="0" w:color="auto"/>
            </w:tcBorders>
            <w:shd w:val="clear" w:color="auto" w:fill="auto"/>
            <w:hideMark/>
          </w:tcPr>
          <w:p w14:paraId="2DD1E8FC"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0D789A">
              <w:t>$1,248</w:t>
            </w:r>
          </w:p>
        </w:tc>
        <w:tc>
          <w:tcPr>
            <w:tcW w:w="1531" w:type="dxa"/>
            <w:tcBorders>
              <w:bottom w:val="single" w:sz="4" w:space="0" w:color="auto"/>
            </w:tcBorders>
            <w:shd w:val="clear" w:color="auto" w:fill="auto"/>
          </w:tcPr>
          <w:p w14:paraId="68E3C683"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0D789A">
              <w:t xml:space="preserve">$88 </w:t>
            </w:r>
          </w:p>
        </w:tc>
        <w:tc>
          <w:tcPr>
            <w:tcW w:w="1644" w:type="dxa"/>
            <w:tcBorders>
              <w:bottom w:val="single" w:sz="4" w:space="0" w:color="auto"/>
            </w:tcBorders>
            <w:shd w:val="clear" w:color="auto" w:fill="auto"/>
          </w:tcPr>
          <w:p w14:paraId="05438DEC" w14:textId="77777777" w:rsidR="00446150" w:rsidRPr="0041136F" w:rsidRDefault="00446150" w:rsidP="00566C50">
            <w:pPr>
              <w:jc w:val="center"/>
              <w:rPr>
                <w:rFonts w:ascii="Calibri" w:eastAsia="Times New Roman" w:hAnsi="Calibri" w:cs="Calibri"/>
                <w:lang w:eastAsia="en-AU"/>
              </w:rPr>
            </w:pPr>
            <w:r w:rsidRPr="000D789A">
              <w:t>$91</w:t>
            </w:r>
          </w:p>
        </w:tc>
        <w:tc>
          <w:tcPr>
            <w:tcW w:w="1645" w:type="dxa"/>
            <w:tcBorders>
              <w:bottom w:val="single" w:sz="4" w:space="0" w:color="auto"/>
            </w:tcBorders>
            <w:shd w:val="clear" w:color="auto" w:fill="auto"/>
            <w:hideMark/>
          </w:tcPr>
          <w:p w14:paraId="0BA853A8"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0D789A">
              <w:t>$206</w:t>
            </w:r>
          </w:p>
        </w:tc>
      </w:tr>
    </w:tbl>
    <w:p w14:paraId="6EB2CD7E" w14:textId="77777777" w:rsidR="00446150" w:rsidRPr="00E64C42" w:rsidRDefault="00446150" w:rsidP="00566C50">
      <w:pPr>
        <w:pStyle w:val="Heading5"/>
        <w:rPr>
          <w:i w:val="0"/>
          <w:lang w:eastAsia="en-AU"/>
        </w:rPr>
      </w:pPr>
      <w:r>
        <w:rPr>
          <w:i w:val="0"/>
          <w:lang w:eastAsia="en-AU"/>
        </w:rPr>
        <w:t xml:space="preserve">Table 7: </w:t>
      </w:r>
      <w:r w:rsidRPr="00E64C42">
        <w:rPr>
          <w:i w:val="0"/>
          <w:lang w:eastAsia="en-AU"/>
        </w:rPr>
        <w:t xml:space="preserve">Comparison by sector – QLD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446150" w:rsidRPr="0041136F" w14:paraId="6127CAD5" w14:textId="77777777" w:rsidTr="00566C50">
        <w:trPr>
          <w:trHeight w:val="300"/>
        </w:trPr>
        <w:tc>
          <w:tcPr>
            <w:tcW w:w="2268" w:type="dxa"/>
            <w:shd w:val="clear" w:color="auto" w:fill="auto"/>
            <w:vAlign w:val="bottom"/>
            <w:hideMark/>
          </w:tcPr>
          <w:p w14:paraId="5C825834" w14:textId="77777777" w:rsidR="00446150" w:rsidRPr="0041136F" w:rsidRDefault="00446150" w:rsidP="00566C50">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0F7E9F6E"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07B6FEF4"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125F8EC4"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76F4AA8D" w14:textId="77777777" w:rsidR="00446150" w:rsidRPr="0041136F" w:rsidRDefault="00446150" w:rsidP="00566C50">
            <w:pPr>
              <w:pStyle w:val="TableHeading"/>
              <w:jc w:val="center"/>
              <w:rPr>
                <w:lang w:eastAsia="en-AU"/>
              </w:rPr>
            </w:pPr>
            <w:r w:rsidRPr="79E4B837">
              <w:rPr>
                <w:lang w:eastAsia="en-AU"/>
              </w:rPr>
              <w:t>Mining</w:t>
            </w:r>
          </w:p>
        </w:tc>
        <w:tc>
          <w:tcPr>
            <w:tcW w:w="1645" w:type="dxa"/>
            <w:shd w:val="clear" w:color="auto" w:fill="auto"/>
            <w:vAlign w:val="center"/>
            <w:hideMark/>
          </w:tcPr>
          <w:p w14:paraId="233FC9A7"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E,G,W &amp; WS*</w:t>
            </w:r>
          </w:p>
        </w:tc>
      </w:tr>
      <w:tr w:rsidR="00446150" w:rsidRPr="0041136F" w14:paraId="533CA685" w14:textId="77777777" w:rsidTr="00566C50">
        <w:trPr>
          <w:trHeight w:val="300"/>
        </w:trPr>
        <w:tc>
          <w:tcPr>
            <w:tcW w:w="2268" w:type="dxa"/>
            <w:shd w:val="clear" w:color="auto" w:fill="auto"/>
            <w:vAlign w:val="bottom"/>
            <w:hideMark/>
          </w:tcPr>
          <w:p w14:paraId="4E9D2BF0"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hideMark/>
          </w:tcPr>
          <w:p w14:paraId="7EAB78DD"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527B35">
              <w:t>1,191</w:t>
            </w:r>
          </w:p>
        </w:tc>
        <w:tc>
          <w:tcPr>
            <w:tcW w:w="1842" w:type="dxa"/>
            <w:shd w:val="clear" w:color="auto" w:fill="auto"/>
            <w:hideMark/>
          </w:tcPr>
          <w:p w14:paraId="1348BEF5"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527B35">
              <w:t>731</w:t>
            </w:r>
          </w:p>
        </w:tc>
        <w:tc>
          <w:tcPr>
            <w:tcW w:w="1531" w:type="dxa"/>
            <w:shd w:val="clear" w:color="auto" w:fill="auto"/>
          </w:tcPr>
          <w:p w14:paraId="68D27C7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527B35">
              <w:t>123</w:t>
            </w:r>
          </w:p>
        </w:tc>
        <w:tc>
          <w:tcPr>
            <w:tcW w:w="1644" w:type="dxa"/>
            <w:shd w:val="clear" w:color="auto" w:fill="auto"/>
          </w:tcPr>
          <w:p w14:paraId="6DFDDBA9" w14:textId="77777777" w:rsidR="00446150" w:rsidRDefault="00446150" w:rsidP="00566C50">
            <w:pPr>
              <w:jc w:val="center"/>
              <w:rPr>
                <w:rFonts w:ascii="Calibri" w:eastAsia="Times New Roman" w:hAnsi="Calibri" w:cs="Calibri"/>
                <w:lang w:eastAsia="en-AU"/>
              </w:rPr>
            </w:pPr>
            <w:r w:rsidRPr="00527B35">
              <w:t>89</w:t>
            </w:r>
          </w:p>
        </w:tc>
        <w:tc>
          <w:tcPr>
            <w:tcW w:w="1645" w:type="dxa"/>
            <w:shd w:val="clear" w:color="auto" w:fill="auto"/>
            <w:hideMark/>
          </w:tcPr>
          <w:p w14:paraId="3EE0DAF4"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527B35">
              <w:t>46</w:t>
            </w:r>
          </w:p>
        </w:tc>
      </w:tr>
      <w:tr w:rsidR="00446150" w:rsidRPr="0041136F" w14:paraId="1CE77C45" w14:textId="77777777" w:rsidTr="00566C50">
        <w:trPr>
          <w:trHeight w:val="300"/>
        </w:trPr>
        <w:tc>
          <w:tcPr>
            <w:tcW w:w="2268" w:type="dxa"/>
            <w:tcBorders>
              <w:bottom w:val="single" w:sz="4" w:space="0" w:color="auto"/>
            </w:tcBorders>
            <w:shd w:val="clear" w:color="auto" w:fill="auto"/>
            <w:vAlign w:val="bottom"/>
            <w:hideMark/>
          </w:tcPr>
          <w:p w14:paraId="58CD1B06"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hideMark/>
          </w:tcPr>
          <w:p w14:paraId="4F92A5CC"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BE3EC6">
              <w:t>$732</w:t>
            </w:r>
          </w:p>
        </w:tc>
        <w:tc>
          <w:tcPr>
            <w:tcW w:w="1842" w:type="dxa"/>
            <w:tcBorders>
              <w:bottom w:val="single" w:sz="4" w:space="0" w:color="auto"/>
            </w:tcBorders>
            <w:shd w:val="clear" w:color="auto" w:fill="auto"/>
            <w:hideMark/>
          </w:tcPr>
          <w:p w14:paraId="47EF5D2C"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BE3EC6">
              <w:t>$619</w:t>
            </w:r>
          </w:p>
        </w:tc>
        <w:tc>
          <w:tcPr>
            <w:tcW w:w="1531" w:type="dxa"/>
            <w:tcBorders>
              <w:bottom w:val="single" w:sz="4" w:space="0" w:color="auto"/>
            </w:tcBorders>
            <w:shd w:val="clear" w:color="auto" w:fill="auto"/>
          </w:tcPr>
          <w:p w14:paraId="44D64790"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BE3EC6">
              <w:t xml:space="preserve">$97 </w:t>
            </w:r>
          </w:p>
        </w:tc>
        <w:tc>
          <w:tcPr>
            <w:tcW w:w="1644" w:type="dxa"/>
            <w:tcBorders>
              <w:bottom w:val="single" w:sz="4" w:space="0" w:color="auto"/>
            </w:tcBorders>
            <w:shd w:val="clear" w:color="auto" w:fill="auto"/>
          </w:tcPr>
          <w:p w14:paraId="6B842C56" w14:textId="77777777" w:rsidR="00446150" w:rsidRPr="0041136F" w:rsidRDefault="00446150" w:rsidP="00566C50">
            <w:pPr>
              <w:jc w:val="center"/>
              <w:rPr>
                <w:rFonts w:ascii="Calibri" w:eastAsia="Times New Roman" w:hAnsi="Calibri" w:cs="Calibri"/>
                <w:lang w:eastAsia="en-AU"/>
              </w:rPr>
            </w:pPr>
            <w:r w:rsidRPr="00BE3EC6">
              <w:t>$158</w:t>
            </w:r>
          </w:p>
        </w:tc>
        <w:tc>
          <w:tcPr>
            <w:tcW w:w="1645" w:type="dxa"/>
            <w:tcBorders>
              <w:bottom w:val="single" w:sz="4" w:space="0" w:color="auto"/>
            </w:tcBorders>
            <w:shd w:val="clear" w:color="auto" w:fill="auto"/>
            <w:hideMark/>
          </w:tcPr>
          <w:p w14:paraId="48A5D4F4"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BE3EC6">
              <w:t xml:space="preserve">$29 </w:t>
            </w:r>
          </w:p>
        </w:tc>
      </w:tr>
    </w:tbl>
    <w:p w14:paraId="77971E8E" w14:textId="77777777" w:rsidR="00446150" w:rsidRPr="00E64C42" w:rsidRDefault="00446150" w:rsidP="00566C50">
      <w:pPr>
        <w:pStyle w:val="Heading5"/>
        <w:rPr>
          <w:i w:val="0"/>
          <w:lang w:eastAsia="en-AU"/>
        </w:rPr>
      </w:pPr>
      <w:r>
        <w:rPr>
          <w:i w:val="0"/>
          <w:lang w:eastAsia="en-AU"/>
        </w:rPr>
        <w:t xml:space="preserve">Table 8: </w:t>
      </w:r>
      <w:r w:rsidRPr="00E64C42">
        <w:rPr>
          <w:i w:val="0"/>
          <w:lang w:eastAsia="en-AU"/>
        </w:rPr>
        <w:t xml:space="preserve">Comparison by sector – WA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446150" w:rsidRPr="0041136F" w14:paraId="005E4CDC" w14:textId="77777777" w:rsidTr="00566C50">
        <w:trPr>
          <w:trHeight w:val="300"/>
        </w:trPr>
        <w:tc>
          <w:tcPr>
            <w:tcW w:w="2268" w:type="dxa"/>
            <w:shd w:val="clear" w:color="auto" w:fill="auto"/>
            <w:vAlign w:val="bottom"/>
            <w:hideMark/>
          </w:tcPr>
          <w:p w14:paraId="7B7C3654" w14:textId="77777777" w:rsidR="00446150" w:rsidRPr="0041136F" w:rsidRDefault="00446150" w:rsidP="00566C50">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673D2162"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2F36A9F5"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5F22F16C"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5A9498C5" w14:textId="77777777" w:rsidR="00446150" w:rsidRPr="0041136F" w:rsidRDefault="00446150" w:rsidP="00566C50">
            <w:pPr>
              <w:pStyle w:val="TableHeading"/>
              <w:jc w:val="center"/>
              <w:rPr>
                <w:lang w:eastAsia="en-AU"/>
              </w:rPr>
            </w:pPr>
            <w:r w:rsidRPr="79E4B837">
              <w:rPr>
                <w:lang w:eastAsia="en-AU"/>
              </w:rPr>
              <w:t>Mining</w:t>
            </w:r>
          </w:p>
        </w:tc>
        <w:tc>
          <w:tcPr>
            <w:tcW w:w="1645" w:type="dxa"/>
            <w:shd w:val="clear" w:color="auto" w:fill="auto"/>
            <w:vAlign w:val="center"/>
            <w:hideMark/>
          </w:tcPr>
          <w:p w14:paraId="11B5A3EC"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E,G,W &amp; WS*</w:t>
            </w:r>
          </w:p>
        </w:tc>
      </w:tr>
      <w:tr w:rsidR="00446150" w:rsidRPr="0041136F" w14:paraId="61622BFD" w14:textId="77777777" w:rsidTr="00566C50">
        <w:trPr>
          <w:trHeight w:val="300"/>
        </w:trPr>
        <w:tc>
          <w:tcPr>
            <w:tcW w:w="2268" w:type="dxa"/>
            <w:shd w:val="clear" w:color="auto" w:fill="auto"/>
            <w:vAlign w:val="bottom"/>
            <w:hideMark/>
          </w:tcPr>
          <w:p w14:paraId="3CB74945"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hideMark/>
          </w:tcPr>
          <w:p w14:paraId="5E82C27E"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4A43AC">
              <w:t>624</w:t>
            </w:r>
          </w:p>
        </w:tc>
        <w:tc>
          <w:tcPr>
            <w:tcW w:w="1842" w:type="dxa"/>
            <w:shd w:val="clear" w:color="auto" w:fill="auto"/>
            <w:hideMark/>
          </w:tcPr>
          <w:p w14:paraId="596C4F9D"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4A43AC">
              <w:t>361</w:t>
            </w:r>
          </w:p>
        </w:tc>
        <w:tc>
          <w:tcPr>
            <w:tcW w:w="1531" w:type="dxa"/>
            <w:shd w:val="clear" w:color="auto" w:fill="auto"/>
          </w:tcPr>
          <w:p w14:paraId="2B370CD5"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4A43AC">
              <w:t>212</w:t>
            </w:r>
          </w:p>
        </w:tc>
        <w:tc>
          <w:tcPr>
            <w:tcW w:w="1644" w:type="dxa"/>
            <w:shd w:val="clear" w:color="auto" w:fill="auto"/>
          </w:tcPr>
          <w:p w14:paraId="79F41633" w14:textId="77777777" w:rsidR="00446150" w:rsidRDefault="00446150" w:rsidP="00566C50">
            <w:pPr>
              <w:jc w:val="center"/>
              <w:rPr>
                <w:rFonts w:ascii="Calibri" w:eastAsia="Times New Roman" w:hAnsi="Calibri" w:cs="Calibri"/>
                <w:lang w:eastAsia="en-AU"/>
              </w:rPr>
            </w:pPr>
            <w:r w:rsidRPr="004A43AC">
              <w:t>76</w:t>
            </w:r>
          </w:p>
        </w:tc>
        <w:tc>
          <w:tcPr>
            <w:tcW w:w="1645" w:type="dxa"/>
            <w:shd w:val="clear" w:color="auto" w:fill="auto"/>
            <w:hideMark/>
          </w:tcPr>
          <w:p w14:paraId="2404A60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4A43AC">
              <w:t>61</w:t>
            </w:r>
          </w:p>
        </w:tc>
      </w:tr>
      <w:tr w:rsidR="00446150" w:rsidRPr="0041136F" w14:paraId="314D1022" w14:textId="77777777" w:rsidTr="00566C50">
        <w:trPr>
          <w:trHeight w:val="300"/>
        </w:trPr>
        <w:tc>
          <w:tcPr>
            <w:tcW w:w="2268" w:type="dxa"/>
            <w:tcBorders>
              <w:bottom w:val="single" w:sz="4" w:space="0" w:color="auto"/>
            </w:tcBorders>
            <w:shd w:val="clear" w:color="auto" w:fill="auto"/>
            <w:vAlign w:val="bottom"/>
            <w:hideMark/>
          </w:tcPr>
          <w:p w14:paraId="0E3E73C3"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hideMark/>
          </w:tcPr>
          <w:p w14:paraId="0CEBB411"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EE4DD2">
              <w:t>$451</w:t>
            </w:r>
          </w:p>
        </w:tc>
        <w:tc>
          <w:tcPr>
            <w:tcW w:w="1842" w:type="dxa"/>
            <w:tcBorders>
              <w:bottom w:val="single" w:sz="4" w:space="0" w:color="auto"/>
            </w:tcBorders>
            <w:shd w:val="clear" w:color="auto" w:fill="auto"/>
            <w:hideMark/>
          </w:tcPr>
          <w:p w14:paraId="4967BACE"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EE4DD2">
              <w:t>$268</w:t>
            </w:r>
          </w:p>
        </w:tc>
        <w:tc>
          <w:tcPr>
            <w:tcW w:w="1531" w:type="dxa"/>
            <w:tcBorders>
              <w:bottom w:val="single" w:sz="4" w:space="0" w:color="auto"/>
            </w:tcBorders>
            <w:shd w:val="clear" w:color="auto" w:fill="auto"/>
          </w:tcPr>
          <w:p w14:paraId="2B764761"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EE4DD2">
              <w:t xml:space="preserve">$676 </w:t>
            </w:r>
          </w:p>
        </w:tc>
        <w:tc>
          <w:tcPr>
            <w:tcW w:w="1644" w:type="dxa"/>
            <w:tcBorders>
              <w:bottom w:val="single" w:sz="4" w:space="0" w:color="auto"/>
            </w:tcBorders>
            <w:shd w:val="clear" w:color="auto" w:fill="auto"/>
          </w:tcPr>
          <w:p w14:paraId="739D2635" w14:textId="77777777" w:rsidR="00446150" w:rsidRPr="0041136F" w:rsidRDefault="00446150" w:rsidP="00566C50">
            <w:pPr>
              <w:jc w:val="center"/>
              <w:rPr>
                <w:rFonts w:ascii="Calibri" w:eastAsia="Times New Roman" w:hAnsi="Calibri" w:cs="Calibri"/>
                <w:lang w:eastAsia="en-AU"/>
              </w:rPr>
            </w:pPr>
            <w:r w:rsidRPr="00EE4DD2">
              <w:t>$68</w:t>
            </w:r>
          </w:p>
        </w:tc>
        <w:tc>
          <w:tcPr>
            <w:tcW w:w="1645" w:type="dxa"/>
            <w:tcBorders>
              <w:bottom w:val="single" w:sz="4" w:space="0" w:color="auto"/>
            </w:tcBorders>
            <w:shd w:val="clear" w:color="auto" w:fill="auto"/>
            <w:hideMark/>
          </w:tcPr>
          <w:p w14:paraId="6ECFB484"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EE4DD2">
              <w:t>$27</w:t>
            </w:r>
          </w:p>
        </w:tc>
      </w:tr>
    </w:tbl>
    <w:p w14:paraId="7470BCA5" w14:textId="77777777" w:rsidR="00446150" w:rsidRDefault="00446150" w:rsidP="00566C50">
      <w:pPr>
        <w:pStyle w:val="Heading5"/>
        <w:spacing w:before="0" w:after="0"/>
        <w:rPr>
          <w:i w:val="0"/>
          <w:lang w:eastAsia="en-AU"/>
        </w:rPr>
      </w:pPr>
    </w:p>
    <w:p w14:paraId="2401ED0B" w14:textId="77777777" w:rsidR="00446150" w:rsidRDefault="00446150">
      <w:pPr>
        <w:rPr>
          <w:rFonts w:asciiTheme="majorHAnsi" w:eastAsiaTheme="majorEastAsia" w:hAnsiTheme="majorHAnsi" w:cstheme="majorBidi"/>
          <w:iCs/>
          <w:color w:val="264F90" w:themeColor="accent2"/>
          <w:szCs w:val="24"/>
          <w:lang w:eastAsia="en-AU"/>
        </w:rPr>
      </w:pPr>
      <w:r>
        <w:rPr>
          <w:i/>
          <w:lang w:eastAsia="en-AU"/>
        </w:rPr>
        <w:br w:type="page"/>
      </w:r>
    </w:p>
    <w:p w14:paraId="78EF966F" w14:textId="77777777" w:rsidR="00446150" w:rsidRDefault="00446150" w:rsidP="00566C50">
      <w:pPr>
        <w:pStyle w:val="Heading5"/>
        <w:rPr>
          <w:i w:val="0"/>
          <w:lang w:eastAsia="en-AU"/>
        </w:rPr>
      </w:pPr>
      <w:r>
        <w:rPr>
          <w:i w:val="0"/>
          <w:lang w:eastAsia="en-AU"/>
        </w:rPr>
        <w:lastRenderedPageBreak/>
        <w:t xml:space="preserve">Table 9: </w:t>
      </w:r>
      <w:r w:rsidRPr="00E64C42">
        <w:rPr>
          <w:i w:val="0"/>
          <w:lang w:eastAsia="en-AU"/>
        </w:rPr>
        <w:t>Comparison by sector – SA &amp; NT**</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446150" w:rsidRPr="0041136F" w14:paraId="03DF1321" w14:textId="77777777" w:rsidTr="00566C50">
        <w:trPr>
          <w:trHeight w:val="300"/>
        </w:trPr>
        <w:tc>
          <w:tcPr>
            <w:tcW w:w="2268" w:type="dxa"/>
            <w:shd w:val="clear" w:color="auto" w:fill="auto"/>
            <w:vAlign w:val="bottom"/>
            <w:hideMark/>
          </w:tcPr>
          <w:p w14:paraId="1A6B1F8E" w14:textId="77777777" w:rsidR="00446150" w:rsidRPr="0041136F" w:rsidRDefault="00446150" w:rsidP="00566C50">
            <w:pPr>
              <w:pStyle w:val="TableHeading"/>
              <w:rPr>
                <w:rFonts w:ascii="Times New Roman" w:hAnsi="Times New Roman" w:cs="Times New Roman"/>
                <w:color w:val="auto"/>
                <w:lang w:eastAsia="en-AU"/>
              </w:rPr>
            </w:pPr>
            <w:r w:rsidRPr="00E64C42">
              <w:rPr>
                <w:i/>
                <w:lang w:eastAsia="en-AU"/>
              </w:rPr>
              <w:t xml:space="preserve"> </w:t>
            </w:r>
            <w:r w:rsidRPr="79E4B837">
              <w:rPr>
                <w:lang w:eastAsia="en-AU"/>
              </w:rPr>
              <w:t>  </w:t>
            </w:r>
            <w:r w:rsidRPr="79E4B837">
              <w:rPr>
                <w:color w:val="auto"/>
                <w:lang w:eastAsia="en-AU"/>
              </w:rPr>
              <w:t> </w:t>
            </w:r>
          </w:p>
        </w:tc>
        <w:tc>
          <w:tcPr>
            <w:tcW w:w="1560" w:type="dxa"/>
            <w:shd w:val="clear" w:color="auto" w:fill="auto"/>
            <w:vAlign w:val="center"/>
            <w:hideMark/>
          </w:tcPr>
          <w:p w14:paraId="1AA64E8C"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79202108"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60A01761"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78ADDE98" w14:textId="77777777" w:rsidR="00446150" w:rsidRPr="0041136F" w:rsidRDefault="00446150" w:rsidP="00566C50">
            <w:pPr>
              <w:pStyle w:val="TableHeading"/>
              <w:jc w:val="center"/>
              <w:rPr>
                <w:lang w:eastAsia="en-AU"/>
              </w:rPr>
            </w:pPr>
            <w:r w:rsidRPr="79E4B837">
              <w:rPr>
                <w:lang w:eastAsia="en-AU"/>
              </w:rPr>
              <w:t>Mining</w:t>
            </w:r>
          </w:p>
        </w:tc>
        <w:tc>
          <w:tcPr>
            <w:tcW w:w="1645" w:type="dxa"/>
            <w:shd w:val="clear" w:color="auto" w:fill="auto"/>
            <w:vAlign w:val="center"/>
            <w:hideMark/>
          </w:tcPr>
          <w:p w14:paraId="41415ECF"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E,G,W &amp; WS*</w:t>
            </w:r>
          </w:p>
        </w:tc>
      </w:tr>
      <w:tr w:rsidR="00446150" w:rsidRPr="0041136F" w14:paraId="3C526A83" w14:textId="77777777" w:rsidTr="00566C50">
        <w:trPr>
          <w:trHeight w:val="300"/>
        </w:trPr>
        <w:tc>
          <w:tcPr>
            <w:tcW w:w="2268" w:type="dxa"/>
            <w:shd w:val="clear" w:color="auto" w:fill="auto"/>
            <w:vAlign w:val="bottom"/>
            <w:hideMark/>
          </w:tcPr>
          <w:p w14:paraId="1FED89FE"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hideMark/>
          </w:tcPr>
          <w:p w14:paraId="76D3A72B"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C90928">
              <w:t>324</w:t>
            </w:r>
          </w:p>
        </w:tc>
        <w:tc>
          <w:tcPr>
            <w:tcW w:w="1842" w:type="dxa"/>
            <w:shd w:val="clear" w:color="auto" w:fill="auto"/>
            <w:hideMark/>
          </w:tcPr>
          <w:p w14:paraId="30C10AEB"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C90928">
              <w:t>224</w:t>
            </w:r>
          </w:p>
        </w:tc>
        <w:tc>
          <w:tcPr>
            <w:tcW w:w="1531" w:type="dxa"/>
            <w:shd w:val="clear" w:color="auto" w:fill="auto"/>
          </w:tcPr>
          <w:p w14:paraId="78CC9B3B"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C90928">
              <w:t>50</w:t>
            </w:r>
          </w:p>
        </w:tc>
        <w:tc>
          <w:tcPr>
            <w:tcW w:w="1644" w:type="dxa"/>
            <w:shd w:val="clear" w:color="auto" w:fill="auto"/>
          </w:tcPr>
          <w:p w14:paraId="5C6C19AC" w14:textId="77777777" w:rsidR="00446150" w:rsidRDefault="00446150" w:rsidP="00566C50">
            <w:pPr>
              <w:jc w:val="center"/>
              <w:rPr>
                <w:rFonts w:ascii="Calibri" w:eastAsia="Times New Roman" w:hAnsi="Calibri" w:cs="Calibri"/>
                <w:lang w:eastAsia="en-AU"/>
              </w:rPr>
            </w:pPr>
            <w:r w:rsidRPr="00C90928">
              <w:t>21</w:t>
            </w:r>
          </w:p>
        </w:tc>
        <w:tc>
          <w:tcPr>
            <w:tcW w:w="1645" w:type="dxa"/>
            <w:shd w:val="clear" w:color="auto" w:fill="auto"/>
            <w:hideMark/>
          </w:tcPr>
          <w:p w14:paraId="3A21C369"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C90928">
              <w:t>18</w:t>
            </w:r>
          </w:p>
        </w:tc>
      </w:tr>
      <w:tr w:rsidR="00446150" w:rsidRPr="0041136F" w14:paraId="6952778F" w14:textId="77777777" w:rsidTr="00566C50">
        <w:trPr>
          <w:trHeight w:val="300"/>
        </w:trPr>
        <w:tc>
          <w:tcPr>
            <w:tcW w:w="2268" w:type="dxa"/>
            <w:tcBorders>
              <w:bottom w:val="single" w:sz="4" w:space="0" w:color="auto"/>
            </w:tcBorders>
            <w:shd w:val="clear" w:color="auto" w:fill="auto"/>
            <w:vAlign w:val="bottom"/>
            <w:hideMark/>
          </w:tcPr>
          <w:p w14:paraId="40CCF57D"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hideMark/>
          </w:tcPr>
          <w:p w14:paraId="11F28458"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297410">
              <w:t>$235</w:t>
            </w:r>
          </w:p>
        </w:tc>
        <w:tc>
          <w:tcPr>
            <w:tcW w:w="1842" w:type="dxa"/>
            <w:tcBorders>
              <w:bottom w:val="single" w:sz="4" w:space="0" w:color="auto"/>
            </w:tcBorders>
            <w:shd w:val="clear" w:color="auto" w:fill="auto"/>
            <w:hideMark/>
          </w:tcPr>
          <w:p w14:paraId="1FCBE5D5"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297410">
              <w:t>$182</w:t>
            </w:r>
          </w:p>
        </w:tc>
        <w:tc>
          <w:tcPr>
            <w:tcW w:w="1531" w:type="dxa"/>
            <w:tcBorders>
              <w:bottom w:val="single" w:sz="4" w:space="0" w:color="auto"/>
            </w:tcBorders>
            <w:shd w:val="clear" w:color="auto" w:fill="auto"/>
          </w:tcPr>
          <w:p w14:paraId="6C3CE941"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297410">
              <w:t xml:space="preserve">$58 </w:t>
            </w:r>
          </w:p>
        </w:tc>
        <w:tc>
          <w:tcPr>
            <w:tcW w:w="1644" w:type="dxa"/>
            <w:tcBorders>
              <w:bottom w:val="single" w:sz="4" w:space="0" w:color="auto"/>
            </w:tcBorders>
            <w:shd w:val="clear" w:color="auto" w:fill="auto"/>
          </w:tcPr>
          <w:p w14:paraId="77CD4A63" w14:textId="77777777" w:rsidR="00446150" w:rsidRPr="0041136F" w:rsidRDefault="00446150" w:rsidP="00566C50">
            <w:pPr>
              <w:jc w:val="center"/>
              <w:rPr>
                <w:rFonts w:ascii="Calibri" w:eastAsia="Times New Roman" w:hAnsi="Calibri" w:cs="Calibri"/>
                <w:lang w:eastAsia="en-AU"/>
              </w:rPr>
            </w:pPr>
            <w:r w:rsidRPr="00297410">
              <w:t>$56</w:t>
            </w:r>
          </w:p>
        </w:tc>
        <w:tc>
          <w:tcPr>
            <w:tcW w:w="1645" w:type="dxa"/>
            <w:tcBorders>
              <w:bottom w:val="single" w:sz="4" w:space="0" w:color="auto"/>
            </w:tcBorders>
            <w:shd w:val="clear" w:color="auto" w:fill="auto"/>
            <w:hideMark/>
          </w:tcPr>
          <w:p w14:paraId="19ABA7D6"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297410">
              <w:t>$6</w:t>
            </w:r>
          </w:p>
        </w:tc>
      </w:tr>
    </w:tbl>
    <w:p w14:paraId="1BC19958" w14:textId="77777777" w:rsidR="00446150" w:rsidRPr="00E64C42" w:rsidRDefault="00446150" w:rsidP="00566C50">
      <w:pPr>
        <w:pStyle w:val="Heading5"/>
        <w:rPr>
          <w:i w:val="0"/>
          <w:lang w:eastAsia="en-AU"/>
        </w:rPr>
      </w:pPr>
      <w:r>
        <w:rPr>
          <w:i w:val="0"/>
          <w:lang w:eastAsia="en-AU"/>
        </w:rPr>
        <w:t xml:space="preserve">Table 10: </w:t>
      </w:r>
      <w:r w:rsidRPr="00E64C42">
        <w:rPr>
          <w:i w:val="0"/>
          <w:lang w:eastAsia="en-AU"/>
        </w:rPr>
        <w:t>Comparison by sector – ACT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4678"/>
      </w:tblGrid>
      <w:tr w:rsidR="00446150" w:rsidRPr="0041136F" w14:paraId="57A3E0A2" w14:textId="77777777" w:rsidTr="00566C50">
        <w:trPr>
          <w:trHeight w:val="300"/>
        </w:trPr>
        <w:tc>
          <w:tcPr>
            <w:tcW w:w="2268" w:type="dxa"/>
            <w:shd w:val="clear" w:color="auto" w:fill="auto"/>
            <w:vAlign w:val="bottom"/>
            <w:hideMark/>
          </w:tcPr>
          <w:p w14:paraId="6D248A20" w14:textId="77777777" w:rsidR="00446150" w:rsidRPr="0041136F" w:rsidRDefault="00446150" w:rsidP="00566C50">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2DD3E091"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345AE6BB"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4678" w:type="dxa"/>
            <w:shd w:val="clear" w:color="auto" w:fill="auto"/>
            <w:vAlign w:val="center"/>
          </w:tcPr>
          <w:p w14:paraId="1E52556C"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r>
              <w:rPr>
                <w:lang w:eastAsia="en-AU"/>
              </w:rPr>
              <w:t>, MINING** and e,g,w &amp; ws*</w:t>
            </w:r>
          </w:p>
        </w:tc>
      </w:tr>
      <w:tr w:rsidR="00446150" w:rsidRPr="0041136F" w14:paraId="2996AE62" w14:textId="77777777" w:rsidTr="00566C50">
        <w:trPr>
          <w:trHeight w:val="300"/>
        </w:trPr>
        <w:tc>
          <w:tcPr>
            <w:tcW w:w="2268" w:type="dxa"/>
            <w:shd w:val="clear" w:color="auto" w:fill="auto"/>
            <w:vAlign w:val="bottom"/>
            <w:hideMark/>
          </w:tcPr>
          <w:p w14:paraId="44ED7CDF"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hideMark/>
          </w:tcPr>
          <w:p w14:paraId="65DC3E91"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8826A8">
              <w:t>143</w:t>
            </w:r>
          </w:p>
        </w:tc>
        <w:tc>
          <w:tcPr>
            <w:tcW w:w="1842" w:type="dxa"/>
            <w:shd w:val="clear" w:color="auto" w:fill="auto"/>
            <w:hideMark/>
          </w:tcPr>
          <w:p w14:paraId="4D592C6C"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8826A8">
              <w:t>20</w:t>
            </w:r>
          </w:p>
        </w:tc>
        <w:tc>
          <w:tcPr>
            <w:tcW w:w="4678" w:type="dxa"/>
            <w:shd w:val="clear" w:color="auto" w:fill="auto"/>
          </w:tcPr>
          <w:p w14:paraId="710A0CB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8826A8">
              <w:t>10</w:t>
            </w:r>
          </w:p>
        </w:tc>
      </w:tr>
      <w:tr w:rsidR="00446150" w:rsidRPr="0041136F" w14:paraId="2B1086DB" w14:textId="77777777" w:rsidTr="00566C50">
        <w:trPr>
          <w:trHeight w:val="300"/>
        </w:trPr>
        <w:tc>
          <w:tcPr>
            <w:tcW w:w="2268" w:type="dxa"/>
            <w:tcBorders>
              <w:bottom w:val="single" w:sz="4" w:space="0" w:color="auto"/>
            </w:tcBorders>
            <w:shd w:val="clear" w:color="auto" w:fill="auto"/>
            <w:vAlign w:val="bottom"/>
            <w:hideMark/>
          </w:tcPr>
          <w:p w14:paraId="14ACC0A4"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hideMark/>
          </w:tcPr>
          <w:p w14:paraId="426721A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t>$103</w:t>
            </w:r>
          </w:p>
        </w:tc>
        <w:tc>
          <w:tcPr>
            <w:tcW w:w="1842" w:type="dxa"/>
            <w:tcBorders>
              <w:bottom w:val="single" w:sz="4" w:space="0" w:color="auto"/>
            </w:tcBorders>
            <w:shd w:val="clear" w:color="auto" w:fill="auto"/>
            <w:hideMark/>
          </w:tcPr>
          <w:p w14:paraId="0982E7DA"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t>$38</w:t>
            </w:r>
          </w:p>
        </w:tc>
        <w:tc>
          <w:tcPr>
            <w:tcW w:w="4678" w:type="dxa"/>
            <w:tcBorders>
              <w:bottom w:val="single" w:sz="4" w:space="0" w:color="auto"/>
            </w:tcBorders>
            <w:shd w:val="clear" w:color="auto" w:fill="auto"/>
          </w:tcPr>
          <w:p w14:paraId="7E05440C"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t>$6</w:t>
            </w:r>
          </w:p>
        </w:tc>
      </w:tr>
    </w:tbl>
    <w:p w14:paraId="34125B32" w14:textId="77777777" w:rsidR="00446150" w:rsidRPr="00E64C42" w:rsidRDefault="00446150" w:rsidP="00566C50">
      <w:pPr>
        <w:pStyle w:val="Heading5"/>
        <w:rPr>
          <w:i w:val="0"/>
          <w:lang w:eastAsia="en-AU"/>
        </w:rPr>
      </w:pPr>
      <w:r>
        <w:rPr>
          <w:i w:val="0"/>
          <w:lang w:eastAsia="en-AU"/>
        </w:rPr>
        <w:t xml:space="preserve">Table 11: </w:t>
      </w:r>
      <w:r w:rsidRPr="00E64C42">
        <w:rPr>
          <w:i w:val="0"/>
          <w:lang w:eastAsia="en-AU"/>
        </w:rPr>
        <w:t xml:space="preserve">Comparison by sector – TAS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3147"/>
      </w:tblGrid>
      <w:tr w:rsidR="00446150" w:rsidRPr="0041136F" w14:paraId="6E3386C8" w14:textId="77777777" w:rsidTr="00566C50">
        <w:trPr>
          <w:trHeight w:val="300"/>
        </w:trPr>
        <w:tc>
          <w:tcPr>
            <w:tcW w:w="2268" w:type="dxa"/>
            <w:shd w:val="clear" w:color="auto" w:fill="auto"/>
            <w:vAlign w:val="bottom"/>
            <w:hideMark/>
          </w:tcPr>
          <w:p w14:paraId="3F416CA0" w14:textId="77777777" w:rsidR="00446150" w:rsidRPr="0041136F" w:rsidRDefault="00446150" w:rsidP="00566C50">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4BF0F956"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769A2F75"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141B85D5" w14:textId="77777777" w:rsidR="00446150" w:rsidRPr="0041136F" w:rsidRDefault="00446150" w:rsidP="00566C50">
            <w:pPr>
              <w:pStyle w:val="TableHeading"/>
              <w:jc w:val="center"/>
              <w:rPr>
                <w:rFonts w:ascii="Times New Roman" w:hAnsi="Times New Roman" w:cs="Times New Roman"/>
                <w:color w:val="auto"/>
                <w:lang w:eastAsia="en-AU"/>
              </w:rPr>
            </w:pPr>
            <w:r w:rsidRPr="79E4B837">
              <w:rPr>
                <w:lang w:eastAsia="en-AU"/>
              </w:rPr>
              <w:t>Agriculture</w:t>
            </w:r>
          </w:p>
        </w:tc>
        <w:tc>
          <w:tcPr>
            <w:tcW w:w="3147" w:type="dxa"/>
            <w:shd w:val="clear" w:color="auto" w:fill="auto"/>
            <w:vAlign w:val="center"/>
          </w:tcPr>
          <w:p w14:paraId="7EE9E643" w14:textId="77777777" w:rsidR="00446150" w:rsidRPr="0041136F" w:rsidRDefault="00446150" w:rsidP="00566C50">
            <w:pPr>
              <w:pStyle w:val="TableHeading"/>
              <w:jc w:val="center"/>
              <w:rPr>
                <w:lang w:eastAsia="en-AU"/>
              </w:rPr>
            </w:pPr>
            <w:r w:rsidRPr="79E4B837">
              <w:rPr>
                <w:lang w:eastAsia="en-AU"/>
              </w:rPr>
              <w:t>Mining</w:t>
            </w:r>
            <w:r>
              <w:rPr>
                <w:lang w:eastAsia="en-AU"/>
              </w:rPr>
              <w:t>** and e,g,w &amp; ws*</w:t>
            </w:r>
          </w:p>
        </w:tc>
      </w:tr>
      <w:tr w:rsidR="00446150" w:rsidRPr="0041136F" w14:paraId="043C5666" w14:textId="77777777" w:rsidTr="00566C50">
        <w:trPr>
          <w:trHeight w:val="300"/>
        </w:trPr>
        <w:tc>
          <w:tcPr>
            <w:tcW w:w="2268" w:type="dxa"/>
            <w:shd w:val="clear" w:color="auto" w:fill="auto"/>
            <w:vAlign w:val="bottom"/>
            <w:hideMark/>
          </w:tcPr>
          <w:p w14:paraId="49C69CF8" w14:textId="77777777" w:rsidR="00446150" w:rsidRPr="0041136F" w:rsidRDefault="00446150" w:rsidP="00566C50">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hideMark/>
          </w:tcPr>
          <w:p w14:paraId="6380A8BD"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2D3C89">
              <w:t>49</w:t>
            </w:r>
          </w:p>
        </w:tc>
        <w:tc>
          <w:tcPr>
            <w:tcW w:w="1842" w:type="dxa"/>
            <w:shd w:val="clear" w:color="auto" w:fill="auto"/>
            <w:hideMark/>
          </w:tcPr>
          <w:p w14:paraId="59D641E9"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2D3C89">
              <w:t>36</w:t>
            </w:r>
          </w:p>
        </w:tc>
        <w:tc>
          <w:tcPr>
            <w:tcW w:w="1531" w:type="dxa"/>
            <w:shd w:val="clear" w:color="auto" w:fill="auto"/>
          </w:tcPr>
          <w:p w14:paraId="0BAB6D07"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2D3C89">
              <w:t>36</w:t>
            </w:r>
          </w:p>
        </w:tc>
        <w:tc>
          <w:tcPr>
            <w:tcW w:w="3147" w:type="dxa"/>
            <w:shd w:val="clear" w:color="auto" w:fill="auto"/>
          </w:tcPr>
          <w:p w14:paraId="4A824FCD" w14:textId="77777777" w:rsidR="00446150" w:rsidRDefault="00446150" w:rsidP="00566C50">
            <w:pPr>
              <w:jc w:val="center"/>
              <w:rPr>
                <w:rFonts w:ascii="Calibri" w:eastAsia="Times New Roman" w:hAnsi="Calibri" w:cs="Calibri"/>
                <w:lang w:eastAsia="en-AU"/>
              </w:rPr>
            </w:pPr>
            <w:r w:rsidRPr="002D3C89">
              <w:t>8</w:t>
            </w:r>
          </w:p>
        </w:tc>
      </w:tr>
      <w:tr w:rsidR="00446150" w:rsidRPr="0041136F" w14:paraId="6F11F046" w14:textId="77777777" w:rsidTr="00566C50">
        <w:trPr>
          <w:trHeight w:val="300"/>
        </w:trPr>
        <w:tc>
          <w:tcPr>
            <w:tcW w:w="2268" w:type="dxa"/>
            <w:tcBorders>
              <w:bottom w:val="single" w:sz="4" w:space="0" w:color="auto"/>
            </w:tcBorders>
            <w:shd w:val="clear" w:color="auto" w:fill="auto"/>
            <w:vAlign w:val="bottom"/>
            <w:hideMark/>
          </w:tcPr>
          <w:p w14:paraId="19CB4240" w14:textId="77777777" w:rsidR="00446150" w:rsidRPr="0041136F" w:rsidRDefault="00446150" w:rsidP="00566C50">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hideMark/>
          </w:tcPr>
          <w:p w14:paraId="25B957C2"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612112">
              <w:t>$27</w:t>
            </w:r>
          </w:p>
        </w:tc>
        <w:tc>
          <w:tcPr>
            <w:tcW w:w="1842" w:type="dxa"/>
            <w:tcBorders>
              <w:bottom w:val="single" w:sz="4" w:space="0" w:color="auto"/>
            </w:tcBorders>
            <w:shd w:val="clear" w:color="auto" w:fill="auto"/>
            <w:hideMark/>
          </w:tcPr>
          <w:p w14:paraId="52688465"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612112">
              <w:t>$130</w:t>
            </w:r>
          </w:p>
        </w:tc>
        <w:tc>
          <w:tcPr>
            <w:tcW w:w="1531" w:type="dxa"/>
            <w:tcBorders>
              <w:bottom w:val="single" w:sz="4" w:space="0" w:color="auto"/>
            </w:tcBorders>
            <w:shd w:val="clear" w:color="auto" w:fill="auto"/>
          </w:tcPr>
          <w:p w14:paraId="0EABE525" w14:textId="77777777" w:rsidR="00446150" w:rsidRPr="0041136F" w:rsidRDefault="00446150" w:rsidP="00566C50">
            <w:pPr>
              <w:jc w:val="center"/>
              <w:rPr>
                <w:rFonts w:ascii="Times New Roman" w:eastAsia="Times New Roman" w:hAnsi="Times New Roman" w:cs="Times New Roman"/>
                <w:color w:val="auto"/>
                <w:sz w:val="24"/>
                <w:szCs w:val="24"/>
                <w:lang w:eastAsia="en-AU"/>
              </w:rPr>
            </w:pPr>
            <w:r w:rsidRPr="00612112">
              <w:t>$26</w:t>
            </w:r>
          </w:p>
        </w:tc>
        <w:tc>
          <w:tcPr>
            <w:tcW w:w="3147" w:type="dxa"/>
            <w:tcBorders>
              <w:bottom w:val="single" w:sz="4" w:space="0" w:color="auto"/>
            </w:tcBorders>
            <w:shd w:val="clear" w:color="auto" w:fill="auto"/>
          </w:tcPr>
          <w:p w14:paraId="738276BC" w14:textId="77777777" w:rsidR="00446150" w:rsidRPr="0041136F" w:rsidRDefault="00446150" w:rsidP="00566C50">
            <w:pPr>
              <w:jc w:val="center"/>
              <w:rPr>
                <w:rFonts w:ascii="Calibri" w:eastAsia="Times New Roman" w:hAnsi="Calibri" w:cs="Calibri"/>
                <w:lang w:eastAsia="en-AU"/>
              </w:rPr>
            </w:pPr>
            <w:r w:rsidRPr="00612112">
              <w:t xml:space="preserve">$5 </w:t>
            </w:r>
          </w:p>
        </w:tc>
      </w:tr>
    </w:tbl>
    <w:p w14:paraId="1E3B8F83" w14:textId="77777777" w:rsidR="00446150" w:rsidRPr="00D678BE" w:rsidRDefault="00446150" w:rsidP="00566C50">
      <w:pPr>
        <w:rPr>
          <w:rFonts w:ascii="Times New Roman" w:hAnsi="Times New Roman" w:cs="Times New Roman"/>
          <w:sz w:val="24"/>
          <w:szCs w:val="24"/>
          <w:lang w:val="en-US" w:eastAsia="en-AU"/>
        </w:rPr>
      </w:pPr>
      <w:r w:rsidRPr="009B1EC8">
        <w:rPr>
          <w:lang w:val="en-US" w:eastAsia="en-AU"/>
        </w:rPr>
        <w:t>* Electricity, Gas, Water &amp; Waste Services</w:t>
      </w:r>
      <w:r>
        <w:rPr>
          <w:lang w:val="en-US" w:eastAsia="en-AU"/>
        </w:rPr>
        <w:br/>
      </w:r>
      <w:r w:rsidRPr="79E4B837">
        <w:rPr>
          <w:rFonts w:ascii="Calibri" w:hAnsi="Calibri" w:cs="Calibri"/>
          <w:lang w:eastAsia="en-AU"/>
        </w:rPr>
        <w:t>** Combined for confidentiality reasons.</w:t>
      </w:r>
      <w:r w:rsidRPr="79E4B837">
        <w:rPr>
          <w:rFonts w:ascii="Calibri" w:hAnsi="Calibri" w:cs="Calibri"/>
          <w:lang w:val="en-US" w:eastAsia="en-AU"/>
        </w:rPr>
        <w:t> </w:t>
      </w:r>
    </w:p>
    <w:p w14:paraId="6DFD6596" w14:textId="77777777" w:rsidR="00446150" w:rsidRPr="002926AF" w:rsidRDefault="00446150" w:rsidP="00566C50">
      <w:pPr>
        <w:rPr>
          <w:rStyle w:val="Emphasis"/>
        </w:rPr>
      </w:pPr>
      <w:r w:rsidRPr="000E7845">
        <w:rPr>
          <w:b/>
          <w:color w:val="auto"/>
          <w:lang w:val="en-US" w:eastAsia="en-AU"/>
        </w:rPr>
        <w:t>Note:</w:t>
      </w:r>
      <w:r>
        <w:rPr>
          <w:color w:val="auto"/>
          <w:lang w:val="en-US" w:eastAsia="en-AU"/>
        </w:rPr>
        <w:t xml:space="preserve"> W</w:t>
      </w:r>
      <w:r w:rsidRPr="79E4B837">
        <w:rPr>
          <w:lang w:eastAsia="en-AU"/>
        </w:rPr>
        <w:t>here the count of registrations for a metric is less than 5, or expenditure is below AU$1 million, th</w:t>
      </w:r>
      <w:r>
        <w:rPr>
          <w:lang w:eastAsia="en-AU"/>
        </w:rPr>
        <w:t>is</w:t>
      </w:r>
      <w:r w:rsidRPr="79E4B837">
        <w:rPr>
          <w:lang w:eastAsia="en-AU"/>
        </w:rPr>
        <w:t xml:space="preserve"> information is not presented.</w:t>
      </w:r>
    </w:p>
    <w:p w14:paraId="2D2F12E5" w14:textId="77777777" w:rsidR="00446150" w:rsidRDefault="00446150" w:rsidP="00566C50">
      <w:pPr>
        <w:pStyle w:val="Heading5"/>
        <w:rPr>
          <w:i w:val="0"/>
          <w:lang w:eastAsia="en-AU"/>
        </w:rPr>
      </w:pPr>
      <w:r w:rsidRPr="00796BCD">
        <w:rPr>
          <w:i w:val="0"/>
          <w:lang w:eastAsia="en-AU"/>
        </w:rPr>
        <w:lastRenderedPageBreak/>
        <w:t>Comparison</w:t>
      </w:r>
      <w:r>
        <w:rPr>
          <w:i w:val="0"/>
          <w:lang w:eastAsia="en-AU"/>
        </w:rPr>
        <w:t xml:space="preserve"> of registrations</w:t>
      </w:r>
      <w:r w:rsidRPr="00796BCD">
        <w:rPr>
          <w:i w:val="0"/>
          <w:lang w:eastAsia="en-AU"/>
        </w:rPr>
        <w:t xml:space="preserve"> by Stat</w:t>
      </w:r>
      <w:r w:rsidRPr="002A6048">
        <w:rPr>
          <w:i w:val="0"/>
          <w:lang w:eastAsia="en-AU"/>
        </w:rPr>
        <w:t>e</w:t>
      </w:r>
      <w:r w:rsidRPr="00796BCD">
        <w:rPr>
          <w:i w:val="0"/>
          <w:lang w:eastAsia="en-AU"/>
        </w:rPr>
        <w:t xml:space="preserve">s and Territories </w:t>
      </w:r>
    </w:p>
    <w:p w14:paraId="01F4A826" w14:textId="77777777" w:rsidR="00446150" w:rsidRPr="009E0BBF" w:rsidRDefault="00446150" w:rsidP="00566C50">
      <w:pPr>
        <w:rPr>
          <w:lang w:eastAsia="en-AU"/>
        </w:rPr>
      </w:pPr>
      <w:r>
        <w:rPr>
          <w:noProof/>
          <w:lang w:eastAsia="en-AU"/>
        </w:rPr>
        <w:drawing>
          <wp:inline distT="0" distB="0" distL="0" distR="0" wp14:anchorId="685DDC0C" wp14:editId="00F1C23F">
            <wp:extent cx="5002436" cy="4924425"/>
            <wp:effectExtent l="0" t="0" r="8255" b="0"/>
            <wp:docPr id="3" name="Picture 3" descr="Comparison of registrations by States and Territories Image shows the States and the number of registrations.&#10;ACT 173&#10;NSW 4333&#10;NT 25&#10;QLD 2180&#10;A 612&#10;TAS 129&#10;VIC 3502&#10;WA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9145" cy="4931029"/>
                    </a:xfrm>
                    <a:prstGeom prst="rect">
                      <a:avLst/>
                    </a:prstGeom>
                  </pic:spPr>
                </pic:pic>
              </a:graphicData>
            </a:graphic>
          </wp:inline>
        </w:drawing>
      </w:r>
      <w:bookmarkStart w:id="17" w:name="_GoBack"/>
    </w:p>
    <w:p w14:paraId="21E35BD3"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2A4672F7"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6BB538E2"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22541710"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0F057617"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5F900973"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33C76A5A"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0447D5EA"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52E635F8" w14:textId="6B207261"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64B13B44"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7E3B872D"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4CBDC3A1" w14:textId="36B94764"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2706E21D" w14:textId="77777777" w:rsidR="00446150"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4E1D3838" w14:textId="77777777" w:rsidR="00446150" w:rsidRPr="009E0BBF" w:rsidRDefault="00446150" w:rsidP="00566C50">
      <w:pPr>
        <w:spacing w:before="0" w:after="0" w:line="240" w:lineRule="auto"/>
        <w:textAlignment w:val="baseline"/>
        <w:rPr>
          <w:rFonts w:ascii="Calibri" w:eastAsia="Times New Roman" w:hAnsi="Calibri" w:cs="Calibri"/>
          <w:color w:val="auto"/>
          <w:sz w:val="22"/>
          <w:szCs w:val="22"/>
          <w:lang w:val="en-US" w:eastAsia="en-AU"/>
        </w:rPr>
      </w:pPr>
    </w:p>
    <w:p w14:paraId="52029356" w14:textId="77777777" w:rsidR="00446150" w:rsidRPr="002926AF" w:rsidRDefault="00446150" w:rsidP="00566C50">
      <w:pPr>
        <w:rPr>
          <w:rStyle w:val="Emphasis"/>
        </w:rPr>
      </w:pPr>
    </w:p>
    <w:bookmarkEnd w:id="17"/>
    <w:p w14:paraId="47DB1FA9" w14:textId="77777777" w:rsidR="00446150" w:rsidRPr="00446150" w:rsidRDefault="00446150" w:rsidP="00446150">
      <w:pPr>
        <w:spacing w:before="0" w:after="200" w:line="276" w:lineRule="auto"/>
        <w:rPr>
          <w:b/>
        </w:rPr>
      </w:pPr>
    </w:p>
    <w:sectPr w:rsidR="00446150" w:rsidRPr="00446150" w:rsidSect="00F627E6">
      <w:footerReference w:type="default" r:id="rId30"/>
      <w:headerReference w:type="first" r:id="rId31"/>
      <w:footerReference w:type="first" r:id="rId32"/>
      <w:pgSz w:w="11906" w:h="16838" w:code="9"/>
      <w:pgMar w:top="1440" w:right="1080" w:bottom="1440" w:left="1080" w:header="737"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2A00" w16cex:dateUtc="2022-08-23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92D4B" w16cid:durableId="26AF2917"/>
  <w16cid:commentId w16cid:paraId="43622C43" w16cid:durableId="26AF2918"/>
  <w16cid:commentId w16cid:paraId="5A0E68AE" w16cid:durableId="26AF2919"/>
  <w16cid:commentId w16cid:paraId="200F49A6" w16cid:durableId="26AF291A"/>
  <w16cid:commentId w16cid:paraId="69C8423F" w16cid:durableId="26AF291B"/>
  <w16cid:commentId w16cid:paraId="5B87DC0C" w16cid:durableId="26A8AA7E"/>
  <w16cid:commentId w16cid:paraId="1FFC685A" w16cid:durableId="26A8AA7F"/>
  <w16cid:commentId w16cid:paraId="033551AD" w16cid:durableId="26A8AA80"/>
  <w16cid:commentId w16cid:paraId="53CE34AB" w16cid:durableId="26A8AA81"/>
  <w16cid:commentId w16cid:paraId="760733CC" w16cid:durableId="26A8AA82"/>
  <w16cid:commentId w16cid:paraId="4D4C9286" w16cid:durableId="26AF2A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FDCB" w14:textId="77777777" w:rsidR="00596E08" w:rsidRDefault="00596E08" w:rsidP="00D560DC">
      <w:pPr>
        <w:spacing w:before="0" w:after="0" w:line="240" w:lineRule="auto"/>
      </w:pPr>
      <w:r>
        <w:separator/>
      </w:r>
    </w:p>
  </w:endnote>
  <w:endnote w:type="continuationSeparator" w:id="0">
    <w:p w14:paraId="039951F2" w14:textId="77777777" w:rsidR="00596E08" w:rsidRDefault="00596E08" w:rsidP="00D560DC">
      <w:pPr>
        <w:spacing w:before="0" w:after="0" w:line="240" w:lineRule="auto"/>
      </w:pPr>
      <w:r>
        <w:continuationSeparator/>
      </w:r>
    </w:p>
  </w:endnote>
  <w:endnote w:type="continuationNotice" w:id="1">
    <w:p w14:paraId="34471BCB" w14:textId="77777777" w:rsidR="00596E08" w:rsidRDefault="00596E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5B4A" w14:textId="77777777" w:rsidR="00596E08" w:rsidRDefault="00596E08" w:rsidP="0039793D">
    <w:pPr>
      <w:pStyle w:val="Footer"/>
    </w:pPr>
    <w:r>
      <w:rPr>
        <w:noProof/>
        <w:lang w:eastAsia="en-AU"/>
      </w:rPr>
      <mc:AlternateContent>
        <mc:Choice Requires="wps">
          <w:drawing>
            <wp:anchor distT="0" distB="0" distL="114300" distR="114300" simplePos="0" relativeHeight="251658240" behindDoc="0" locked="0" layoutInCell="1" allowOverlap="1" wp14:anchorId="125C6616" wp14:editId="7DC50406">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798A82DE" w14:textId="77777777" w:rsidR="00596E08" w:rsidRDefault="00596E08" w:rsidP="0039793D">
                          <w:pPr>
                            <w:jc w:val="right"/>
                          </w:pPr>
                          <w:r>
                            <w:fldChar w:fldCharType="begin"/>
                          </w:r>
                          <w:r>
                            <w:instrText xml:space="preserve"> PAGE   \* MERGEFORMAT </w:instrText>
                          </w:r>
                          <w:r>
                            <w:fldChar w:fldCharType="separate"/>
                          </w:r>
                          <w:r w:rsidR="00270C5D">
                            <w:rPr>
                              <w:noProof/>
                            </w:rPr>
                            <w:t>13</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C6616" id="_x0000_t202" coordsize="21600,21600" o:spt="202" path="m,l,21600r21600,l21600,xe">
              <v:stroke joinstyle="miter"/>
              <v:path gradientshapeok="t" o:connecttype="rect"/>
            </v:shapetype>
            <v:shape id="Text Box 21" o:spid="_x0000_s1026" type="#_x0000_t202" style="position:absolute;margin-left:33.85pt;margin-top:0;width:85.05pt;height:36.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798A82DE" w14:textId="77777777" w:rsidR="00596E08" w:rsidRDefault="00596E08" w:rsidP="0039793D">
                    <w:pPr>
                      <w:jc w:val="right"/>
                    </w:pPr>
                    <w:r>
                      <w:fldChar w:fldCharType="begin"/>
                    </w:r>
                    <w:r>
                      <w:instrText xml:space="preserve"> PAGE   \* MERGEFORMAT </w:instrText>
                    </w:r>
                    <w:r>
                      <w:fldChar w:fldCharType="separate"/>
                    </w:r>
                    <w:r w:rsidR="00270C5D">
                      <w:rPr>
                        <w:noProof/>
                      </w:rPr>
                      <w:t>13</w:t>
                    </w:r>
                    <w:r>
                      <w:rPr>
                        <w:noProof/>
                      </w:rPr>
                      <w:fldChar w:fldCharType="end"/>
                    </w:r>
                  </w:p>
                </w:txbxContent>
              </v:textbox>
              <w10:wrap anchorx="page" anchory="page"/>
            </v:shape>
          </w:pict>
        </mc:Fallback>
      </mc:AlternateContent>
    </w:r>
    <w:r>
      <w:rPr>
        <w:noProof/>
        <w:lang w:eastAsia="en-AU"/>
      </w:rPr>
      <w:drawing>
        <wp:inline distT="0" distB="0" distL="0" distR="0" wp14:anchorId="0A385690" wp14:editId="2E5D99DF">
          <wp:extent cx="6912000" cy="110015"/>
          <wp:effectExtent l="0" t="0" r="0" b="4445"/>
          <wp:docPr id="5" name="Pictur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3DEBE20D" w14:textId="77777777" w:rsidR="00596E08" w:rsidRPr="0039793D" w:rsidRDefault="00596E08" w:rsidP="0039793D">
    <w:pPr>
      <w:pStyle w:val="Footer"/>
      <w:rPr>
        <w:color w:val="264F90" w:themeColor="accent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2754" w14:textId="77777777" w:rsidR="00596E08" w:rsidRDefault="00596E08" w:rsidP="00F627E6">
    <w:pPr>
      <w:pStyle w:val="Footer"/>
    </w:pPr>
    <w:r>
      <w:rPr>
        <w:noProof/>
        <w:lang w:eastAsia="en-AU"/>
      </w:rPr>
      <mc:AlternateContent>
        <mc:Choice Requires="wps">
          <w:drawing>
            <wp:anchor distT="0" distB="0" distL="114300" distR="114300" simplePos="0" relativeHeight="251658241" behindDoc="0" locked="0" layoutInCell="1" allowOverlap="1" wp14:anchorId="7FE89EE2" wp14:editId="1A244581">
              <wp:simplePos x="0" y="0"/>
              <wp:positionH relativeFrom="page">
                <wp:align>right</wp:align>
              </wp:positionH>
              <wp:positionV relativeFrom="page">
                <wp:align>bottom</wp:align>
              </wp:positionV>
              <wp:extent cx="1080000" cy="468000"/>
              <wp:effectExtent l="0" t="0" r="0" b="0"/>
              <wp:wrapNone/>
              <wp:docPr id="4" name="Text Box 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067AE6C5" w14:textId="77777777" w:rsidR="00596E08" w:rsidRDefault="00596E08" w:rsidP="00F627E6">
                          <w:pPr>
                            <w:jc w:val="right"/>
                          </w:pPr>
                          <w:r>
                            <w:fldChar w:fldCharType="begin"/>
                          </w:r>
                          <w:r>
                            <w:instrText xml:space="preserve"> PAGE   \* MERGEFORMAT </w:instrText>
                          </w:r>
                          <w:r>
                            <w:fldChar w:fldCharType="separate"/>
                          </w:r>
                          <w:r w:rsidR="00270C5D">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89EE2" id="_x0000_t202" coordsize="21600,21600" o:spt="202" path="m,l,21600r21600,l21600,xe">
              <v:stroke joinstyle="miter"/>
              <v:path gradientshapeok="t" o:connecttype="rect"/>
            </v:shapetype>
            <v:shape id="Text Box 4" o:spid="_x0000_s1027" type="#_x0000_t202" style="position:absolute;margin-left:33.85pt;margin-top:0;width:85.05pt;height:36.8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MOYgIAAKcEAAAOAAAAZHJzL2Uyb0RvYy54bWysVE2P2jAQvVfqf7B8hwTIsllEWAUoVSW0&#10;uxJUezaOA5ESj2sbElr1v3fsJGy17akqBzP2fL43M5k/NlVJLkKbAmRCR8OQEiE5ZIU8JvTrfjOI&#10;KTGWyYyVIEVCr8LQx8XHD/NazcQYTlBmQhMMIs2sVgk9WatmQWD4SVTMDEEJicocdMUsXvUxyDSr&#10;MXpVBuMwnAY16Exp4MIYfF23Srrw8fNccPuc50ZYUiYUa7P+1P48uDNYzNnsqJk6Fbwrg/1DFRUr&#10;JCa9hVozy8hZF3+EqgquwUBuhxyqAPK84MJjQDSj8B2a3Ykp4bEgOUbdaDL/Lyx/urxoUmQJjSiR&#10;rMIW7UVjyRIaEnlEeNsa67C5d4/px2oUT9b3m+lgGT3Eg2iynAweong5GN2P4+XdOE2nn6KfjtvA&#10;e3n/oFZm5tO55nhxpzC3bTAXjo4zd+8GH122JteV+0eOCOqxeddbw1wl3DmFcYg/Sjjqoqm7dFl7&#10;b6WN/SygIk5IqMaB8KjYBYtqC+xNXDIJm6Is/VCUktQJnU7uQu9w0yCkUiKyt1qdZJtD42m84ThA&#10;dkV4GtqZM4pvCqxhy4x9YRqHDMvGxbHPeOQlYC7oJEpOoL//7d3ZY+9RS0mNQ5tQ8+3MtKCk/CJx&#10;KtyE94L2wjTypJCDv406uuS5WgFuxAiXU3Evoqu2ZS/mGqpX3KzU5UMVkxyzJvTQiyvbLhFuJhdp&#10;6o1wohWzW7lT3IV2fDpu980r06prgMXWPUE/2Gz2rg+tbduJ9GwhL3yTHMMtnx3xuA1+uLrNdev2&#10;+91bvX1fFr8AAAD//wMAUEsDBBQABgAIAAAAIQCA7hRW2wAAAAQBAAAPAAAAZHJzL2Rvd25yZXYu&#10;eG1sTI9BS8NAEIXvQv/DMgVvdjcVGonZlFIqohexKsXbNDtmQ7OzIbtt479360UvD4Y3vPe9cjm6&#10;TpxoCK1nDdlMgSCuvWm50fD+9nBzByJEZIOdZ9LwTQGW1eSqxML4M7/SaRsbkUI4FKjBxtgXUoba&#10;ksMw8z1x8r784DCmc2ikGfCcwl0n50otpMOWU4PFntaW6sP26FLveje3G5U9m8WL/Xhc5U/W7D61&#10;vp6Oq3sQkcb49wwX/IQOVWLa+yObIDoNaUj81YuXqwzEXkN+m4OsSvkfvvoBAAD//wMAUEsBAi0A&#10;FAAGAAgAAAAhALaDOJL+AAAA4QEAABMAAAAAAAAAAAAAAAAAAAAAAFtDb250ZW50X1R5cGVzXS54&#10;bWxQSwECLQAUAAYACAAAACEAOP0h/9YAAACUAQAACwAAAAAAAAAAAAAAAAAvAQAAX3JlbHMvLnJl&#10;bHNQSwECLQAUAAYACAAAACEAemuzDmICAACnBAAADgAAAAAAAAAAAAAAAAAuAgAAZHJzL2Uyb0Rv&#10;Yy54bWxQSwECLQAUAAYACAAAACEAgO4UVtsAAAAEAQAADwAAAAAAAAAAAAAAAAC8BAAAZHJzL2Rv&#10;d25yZXYueG1sUEsFBgAAAAAEAAQA8wAAAMQFAAAAAA==&#10;" filled="f" stroked="f" strokeweight=".5pt">
              <v:textbox inset="0,0,18mm,5mm">
                <w:txbxContent>
                  <w:p w14:paraId="067AE6C5" w14:textId="77777777" w:rsidR="00596E08" w:rsidRDefault="00596E08" w:rsidP="00F627E6">
                    <w:pPr>
                      <w:jc w:val="right"/>
                    </w:pPr>
                    <w:r>
                      <w:fldChar w:fldCharType="begin"/>
                    </w:r>
                    <w:r>
                      <w:instrText xml:space="preserve"> PAGE   \* MERGEFORMAT </w:instrText>
                    </w:r>
                    <w:r>
                      <w:fldChar w:fldCharType="separate"/>
                    </w:r>
                    <w:r w:rsidR="00270C5D">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7C8B3403" wp14:editId="0357423E">
          <wp:extent cx="6912000" cy="110015"/>
          <wp:effectExtent l="0" t="0" r="0" b="4445"/>
          <wp:docPr id="6" name="Pictur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35F77" w14:textId="77777777" w:rsidR="00596E08" w:rsidRDefault="00596E08" w:rsidP="00D560DC">
      <w:pPr>
        <w:spacing w:before="0" w:after="0" w:line="240" w:lineRule="auto"/>
      </w:pPr>
      <w:r>
        <w:separator/>
      </w:r>
    </w:p>
  </w:footnote>
  <w:footnote w:type="continuationSeparator" w:id="0">
    <w:p w14:paraId="2D030416" w14:textId="77777777" w:rsidR="00596E08" w:rsidRDefault="00596E08" w:rsidP="00D560DC">
      <w:pPr>
        <w:spacing w:before="0" w:after="0" w:line="240" w:lineRule="auto"/>
      </w:pPr>
      <w:r>
        <w:continuationSeparator/>
      </w:r>
    </w:p>
  </w:footnote>
  <w:footnote w:type="continuationNotice" w:id="1">
    <w:p w14:paraId="5EEC3F50" w14:textId="77777777" w:rsidR="00596E08" w:rsidRDefault="00596E0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D6E" w14:textId="77777777" w:rsidR="00596E08" w:rsidRDefault="00596E08" w:rsidP="00E55C27">
    <w:pPr>
      <w:pStyle w:val="Header"/>
      <w:rPr>
        <w:noProof/>
        <w:lang w:eastAsia="en-AU"/>
      </w:rPr>
    </w:pPr>
    <w:r>
      <w:rPr>
        <w:noProof/>
        <w:lang w:eastAsia="en-AU"/>
      </w:rPr>
      <w:drawing>
        <wp:anchor distT="0" distB="0" distL="114300" distR="114300" simplePos="0" relativeHeight="251658242" behindDoc="1" locked="0" layoutInCell="1" allowOverlap="1" wp14:anchorId="57E4C565" wp14:editId="7E75952B">
          <wp:simplePos x="0" y="0"/>
          <wp:positionH relativeFrom="margin">
            <wp:align>center</wp:align>
          </wp:positionH>
          <wp:positionV relativeFrom="paragraph">
            <wp:posOffset>-312665</wp:posOffset>
          </wp:positionV>
          <wp:extent cx="7186888" cy="149696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Industry - RDTI - ATO - 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6888" cy="1496961"/>
                  </a:xfrm>
                  <a:prstGeom prst="rect">
                    <a:avLst/>
                  </a:prstGeom>
                </pic:spPr>
              </pic:pic>
            </a:graphicData>
          </a:graphic>
          <wp14:sizeRelH relativeFrom="page">
            <wp14:pctWidth>0</wp14:pctWidth>
          </wp14:sizeRelH>
          <wp14:sizeRelV relativeFrom="page">
            <wp14:pctHeight>0</wp14:pctHeight>
          </wp14:sizeRelV>
        </wp:anchor>
      </w:drawing>
    </w:r>
  </w:p>
  <w:p w14:paraId="4300B1EB" w14:textId="77777777" w:rsidR="00596E08" w:rsidRPr="00D560DC" w:rsidRDefault="00596E08" w:rsidP="00E55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E37"/>
    <w:multiLevelType w:val="hybridMultilevel"/>
    <w:tmpl w:val="BEE62F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221"/>
    <w:multiLevelType w:val="hybridMultilevel"/>
    <w:tmpl w:val="FA0E6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3" w15:restartNumberingAfterBreak="0">
    <w:nsid w:val="174C6791"/>
    <w:multiLevelType w:val="hybridMultilevel"/>
    <w:tmpl w:val="D3BC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27A23"/>
    <w:multiLevelType w:val="hybridMultilevel"/>
    <w:tmpl w:val="BB3A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47D4F"/>
    <w:multiLevelType w:val="multilevel"/>
    <w:tmpl w:val="2CDA0A4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9A552A3"/>
    <w:multiLevelType w:val="multilevel"/>
    <w:tmpl w:val="F4E6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52A4A"/>
    <w:multiLevelType w:val="hybridMultilevel"/>
    <w:tmpl w:val="37FA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D6B3C"/>
    <w:multiLevelType w:val="hybridMultilevel"/>
    <w:tmpl w:val="4D0AE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0" w15:restartNumberingAfterBreak="0">
    <w:nsid w:val="38834195"/>
    <w:multiLevelType w:val="multilevel"/>
    <w:tmpl w:val="683ADE5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0D4782"/>
    <w:multiLevelType w:val="hybridMultilevel"/>
    <w:tmpl w:val="067C0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C2FDD"/>
    <w:multiLevelType w:val="hybridMultilevel"/>
    <w:tmpl w:val="E0CA3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3611005"/>
    <w:multiLevelType w:val="hybridMultilevel"/>
    <w:tmpl w:val="90BCE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2A1389"/>
    <w:multiLevelType w:val="hybridMultilevel"/>
    <w:tmpl w:val="301A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B30825"/>
    <w:multiLevelType w:val="multilevel"/>
    <w:tmpl w:val="2682CBB6"/>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510" w:hanging="170"/>
      </w:pPr>
      <w:rPr>
        <w:rFonts w:asciiTheme="minorHAnsi" w:hAnsiTheme="minorHAnsi" w:cstheme="minorHAnsi"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EF03FE"/>
    <w:multiLevelType w:val="hybridMultilevel"/>
    <w:tmpl w:val="A5F8C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B422B"/>
    <w:multiLevelType w:val="hybridMultilevel"/>
    <w:tmpl w:val="69147D76"/>
    <w:lvl w:ilvl="0" w:tplc="0C090001">
      <w:start w:val="1"/>
      <w:numFmt w:val="bullet"/>
      <w:lvlText w:val=""/>
      <w:lvlJc w:val="left"/>
      <w:pPr>
        <w:ind w:left="720" w:hanging="360"/>
      </w:pPr>
      <w:rPr>
        <w:rFonts w:ascii="Symbol" w:hAnsi="Symbol" w:hint="default"/>
      </w:rPr>
    </w:lvl>
    <w:lvl w:ilvl="1" w:tplc="A38A8602">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240856"/>
    <w:multiLevelType w:val="hybridMultilevel"/>
    <w:tmpl w:val="044A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64C10"/>
    <w:multiLevelType w:val="hybridMultilevel"/>
    <w:tmpl w:val="D254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65651A42"/>
    <w:multiLevelType w:val="hybridMultilevel"/>
    <w:tmpl w:val="3ADC8ED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65CB62E8"/>
    <w:multiLevelType w:val="hybridMultilevel"/>
    <w:tmpl w:val="CF3E10DA"/>
    <w:lvl w:ilvl="0" w:tplc="F2344DE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D24662"/>
    <w:multiLevelType w:val="hybridMultilevel"/>
    <w:tmpl w:val="C14C2F8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4157F1"/>
    <w:multiLevelType w:val="hybridMultilevel"/>
    <w:tmpl w:val="1908C09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E241ABF"/>
    <w:multiLevelType w:val="hybridMultilevel"/>
    <w:tmpl w:val="A60C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662C0"/>
    <w:multiLevelType w:val="hybridMultilevel"/>
    <w:tmpl w:val="4760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7"/>
  </w:num>
  <w:num w:numId="2">
    <w:abstractNumId w:val="20"/>
  </w:num>
  <w:num w:numId="3">
    <w:abstractNumId w:val="2"/>
  </w:num>
  <w:num w:numId="4">
    <w:abstractNumId w:val="9"/>
  </w:num>
  <w:num w:numId="5">
    <w:abstractNumId w:val="15"/>
  </w:num>
  <w:num w:numId="6">
    <w:abstractNumId w:val="4"/>
  </w:num>
  <w:num w:numId="7">
    <w:abstractNumId w:val="5"/>
  </w:num>
  <w:num w:numId="8">
    <w:abstractNumId w:val="19"/>
  </w:num>
  <w:num w:numId="9">
    <w:abstractNumId w:val="0"/>
  </w:num>
  <w:num w:numId="10">
    <w:abstractNumId w:val="13"/>
  </w:num>
  <w:num w:numId="11">
    <w:abstractNumId w:val="14"/>
  </w:num>
  <w:num w:numId="12">
    <w:abstractNumId w:val="25"/>
  </w:num>
  <w:num w:numId="13">
    <w:abstractNumId w:val="21"/>
  </w:num>
  <w:num w:numId="14">
    <w:abstractNumId w:val="7"/>
  </w:num>
  <w:num w:numId="15">
    <w:abstractNumId w:val="8"/>
  </w:num>
  <w:num w:numId="16">
    <w:abstractNumId w:val="12"/>
  </w:num>
  <w:num w:numId="17">
    <w:abstractNumId w:val="23"/>
  </w:num>
  <w:num w:numId="18">
    <w:abstractNumId w:val="11"/>
  </w:num>
  <w:num w:numId="19">
    <w:abstractNumId w:val="3"/>
  </w:num>
  <w:num w:numId="20">
    <w:abstractNumId w:val="10"/>
  </w:num>
  <w:num w:numId="21">
    <w:abstractNumId w:val="17"/>
  </w:num>
  <w:num w:numId="22">
    <w:abstractNumId w:val="16"/>
  </w:num>
  <w:num w:numId="23">
    <w:abstractNumId w:val="18"/>
  </w:num>
  <w:num w:numId="24">
    <w:abstractNumId w:val="24"/>
  </w:num>
  <w:num w:numId="25">
    <w:abstractNumId w:val="27"/>
  </w:num>
  <w:num w:numId="26">
    <w:abstractNumId w:val="22"/>
  </w:num>
  <w:num w:numId="27">
    <w:abstractNumId w:val="6"/>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1"/>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6"/>
  </w:num>
  <w:num w:numId="44">
    <w:abstractNumId w:val="27"/>
  </w:num>
  <w:num w:numId="45">
    <w:abstractNumId w:val="27"/>
  </w:num>
  <w:num w:numId="46">
    <w:abstractNumId w:val="27"/>
  </w:num>
  <w:num w:numId="47">
    <w:abstractNumId w:val="27"/>
  </w:num>
  <w:num w:numId="48">
    <w:abstractNumId w:val="27"/>
  </w:num>
  <w:num w:numId="4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trackedChange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68"/>
    <w:rsid w:val="000046B1"/>
    <w:rsid w:val="00015DC0"/>
    <w:rsid w:val="00017597"/>
    <w:rsid w:val="00017788"/>
    <w:rsid w:val="00022205"/>
    <w:rsid w:val="00027E66"/>
    <w:rsid w:val="00032F9A"/>
    <w:rsid w:val="0003434C"/>
    <w:rsid w:val="0003664B"/>
    <w:rsid w:val="00037A66"/>
    <w:rsid w:val="0004008E"/>
    <w:rsid w:val="00050E82"/>
    <w:rsid w:val="000532E5"/>
    <w:rsid w:val="00054504"/>
    <w:rsid w:val="00061D6A"/>
    <w:rsid w:val="00067477"/>
    <w:rsid w:val="00075B69"/>
    <w:rsid w:val="000800A2"/>
    <w:rsid w:val="0008064F"/>
    <w:rsid w:val="00083D39"/>
    <w:rsid w:val="000910B4"/>
    <w:rsid w:val="00091CF6"/>
    <w:rsid w:val="00091DCD"/>
    <w:rsid w:val="000A023A"/>
    <w:rsid w:val="000A0E9A"/>
    <w:rsid w:val="000A3122"/>
    <w:rsid w:val="000A36EA"/>
    <w:rsid w:val="000A3FA8"/>
    <w:rsid w:val="000A494B"/>
    <w:rsid w:val="000A5937"/>
    <w:rsid w:val="000B4546"/>
    <w:rsid w:val="000B5478"/>
    <w:rsid w:val="000C33C6"/>
    <w:rsid w:val="000C566C"/>
    <w:rsid w:val="000D3790"/>
    <w:rsid w:val="000D4802"/>
    <w:rsid w:val="000D6F9E"/>
    <w:rsid w:val="000E2187"/>
    <w:rsid w:val="000E4511"/>
    <w:rsid w:val="000F054F"/>
    <w:rsid w:val="000F185D"/>
    <w:rsid w:val="000F5A4F"/>
    <w:rsid w:val="000F5F67"/>
    <w:rsid w:val="000F63FA"/>
    <w:rsid w:val="000F6F23"/>
    <w:rsid w:val="00100007"/>
    <w:rsid w:val="001032F5"/>
    <w:rsid w:val="0010408B"/>
    <w:rsid w:val="001120FE"/>
    <w:rsid w:val="0011308B"/>
    <w:rsid w:val="00116D56"/>
    <w:rsid w:val="00121799"/>
    <w:rsid w:val="00144C73"/>
    <w:rsid w:val="00153383"/>
    <w:rsid w:val="0015751E"/>
    <w:rsid w:val="00157E32"/>
    <w:rsid w:val="00157EFE"/>
    <w:rsid w:val="0016241F"/>
    <w:rsid w:val="00163226"/>
    <w:rsid w:val="0016358E"/>
    <w:rsid w:val="0016544E"/>
    <w:rsid w:val="001656C8"/>
    <w:rsid w:val="00166FBD"/>
    <w:rsid w:val="00170894"/>
    <w:rsid w:val="00176047"/>
    <w:rsid w:val="00177F3E"/>
    <w:rsid w:val="00181645"/>
    <w:rsid w:val="00182590"/>
    <w:rsid w:val="00193412"/>
    <w:rsid w:val="0019510B"/>
    <w:rsid w:val="001A1B76"/>
    <w:rsid w:val="001A26D6"/>
    <w:rsid w:val="001A2D78"/>
    <w:rsid w:val="001B105D"/>
    <w:rsid w:val="001B3D92"/>
    <w:rsid w:val="001C5368"/>
    <w:rsid w:val="001E2C06"/>
    <w:rsid w:val="001E687E"/>
    <w:rsid w:val="001E7271"/>
    <w:rsid w:val="001F2577"/>
    <w:rsid w:val="001F334F"/>
    <w:rsid w:val="001F5E4F"/>
    <w:rsid w:val="001F63D6"/>
    <w:rsid w:val="001F77E0"/>
    <w:rsid w:val="002105F1"/>
    <w:rsid w:val="002166DE"/>
    <w:rsid w:val="002175CC"/>
    <w:rsid w:val="00223068"/>
    <w:rsid w:val="0022338F"/>
    <w:rsid w:val="00224CCA"/>
    <w:rsid w:val="00224CE7"/>
    <w:rsid w:val="00231BA9"/>
    <w:rsid w:val="00232A03"/>
    <w:rsid w:val="002332DF"/>
    <w:rsid w:val="002435E3"/>
    <w:rsid w:val="00245A44"/>
    <w:rsid w:val="00246570"/>
    <w:rsid w:val="002478E7"/>
    <w:rsid w:val="00253E37"/>
    <w:rsid w:val="00270963"/>
    <w:rsid w:val="00270C5D"/>
    <w:rsid w:val="002779AF"/>
    <w:rsid w:val="002818E6"/>
    <w:rsid w:val="002856F5"/>
    <w:rsid w:val="00286EEE"/>
    <w:rsid w:val="002947CB"/>
    <w:rsid w:val="00295953"/>
    <w:rsid w:val="002A2BA5"/>
    <w:rsid w:val="002A42CE"/>
    <w:rsid w:val="002A5B1C"/>
    <w:rsid w:val="002A77A4"/>
    <w:rsid w:val="002B1C31"/>
    <w:rsid w:val="002B220A"/>
    <w:rsid w:val="002B5E7A"/>
    <w:rsid w:val="002D04E6"/>
    <w:rsid w:val="002D1791"/>
    <w:rsid w:val="002D5836"/>
    <w:rsid w:val="002D7B46"/>
    <w:rsid w:val="002E3A23"/>
    <w:rsid w:val="002F3C34"/>
    <w:rsid w:val="00304F70"/>
    <w:rsid w:val="00306C45"/>
    <w:rsid w:val="00307CA4"/>
    <w:rsid w:val="00312D42"/>
    <w:rsid w:val="00313ABA"/>
    <w:rsid w:val="00316778"/>
    <w:rsid w:val="0032402F"/>
    <w:rsid w:val="00325202"/>
    <w:rsid w:val="00327FBC"/>
    <w:rsid w:val="00342C65"/>
    <w:rsid w:val="00343379"/>
    <w:rsid w:val="00346170"/>
    <w:rsid w:val="00350D53"/>
    <w:rsid w:val="003567C8"/>
    <w:rsid w:val="00357245"/>
    <w:rsid w:val="003601CE"/>
    <w:rsid w:val="00361B40"/>
    <w:rsid w:val="003769D7"/>
    <w:rsid w:val="0038240C"/>
    <w:rsid w:val="00382D2C"/>
    <w:rsid w:val="0038307C"/>
    <w:rsid w:val="003852A7"/>
    <w:rsid w:val="0038670E"/>
    <w:rsid w:val="00390F90"/>
    <w:rsid w:val="003932FC"/>
    <w:rsid w:val="00394BC9"/>
    <w:rsid w:val="0039793D"/>
    <w:rsid w:val="00397BD5"/>
    <w:rsid w:val="003A02E3"/>
    <w:rsid w:val="003A1BA1"/>
    <w:rsid w:val="003A2994"/>
    <w:rsid w:val="003A34B9"/>
    <w:rsid w:val="003B1B09"/>
    <w:rsid w:val="003B2FF0"/>
    <w:rsid w:val="003B5EC2"/>
    <w:rsid w:val="003B772B"/>
    <w:rsid w:val="003C7670"/>
    <w:rsid w:val="003D1990"/>
    <w:rsid w:val="003D1AFA"/>
    <w:rsid w:val="003E072A"/>
    <w:rsid w:val="003E1141"/>
    <w:rsid w:val="003E38FA"/>
    <w:rsid w:val="003E6164"/>
    <w:rsid w:val="00401109"/>
    <w:rsid w:val="00401A01"/>
    <w:rsid w:val="0040787A"/>
    <w:rsid w:val="0041233C"/>
    <w:rsid w:val="0041797A"/>
    <w:rsid w:val="00420046"/>
    <w:rsid w:val="004217A9"/>
    <w:rsid w:val="00421B9F"/>
    <w:rsid w:val="00432A99"/>
    <w:rsid w:val="004335C1"/>
    <w:rsid w:val="004371BC"/>
    <w:rsid w:val="00444C6B"/>
    <w:rsid w:val="00446150"/>
    <w:rsid w:val="00453DEF"/>
    <w:rsid w:val="004635A5"/>
    <w:rsid w:val="00463ED0"/>
    <w:rsid w:val="004705EE"/>
    <w:rsid w:val="00470BDD"/>
    <w:rsid w:val="0047297D"/>
    <w:rsid w:val="004764B8"/>
    <w:rsid w:val="0048137A"/>
    <w:rsid w:val="00483D48"/>
    <w:rsid w:val="004852EF"/>
    <w:rsid w:val="004874FF"/>
    <w:rsid w:val="00490B8E"/>
    <w:rsid w:val="0049426B"/>
    <w:rsid w:val="004978F6"/>
    <w:rsid w:val="004A149E"/>
    <w:rsid w:val="004A1648"/>
    <w:rsid w:val="004A40C9"/>
    <w:rsid w:val="004B1549"/>
    <w:rsid w:val="004B3726"/>
    <w:rsid w:val="004B3D3F"/>
    <w:rsid w:val="004D0C8D"/>
    <w:rsid w:val="004D623C"/>
    <w:rsid w:val="004E1663"/>
    <w:rsid w:val="004F09D3"/>
    <w:rsid w:val="004F14ED"/>
    <w:rsid w:val="00513117"/>
    <w:rsid w:val="0052144A"/>
    <w:rsid w:val="00527D37"/>
    <w:rsid w:val="00530D32"/>
    <w:rsid w:val="00532891"/>
    <w:rsid w:val="00535C06"/>
    <w:rsid w:val="005372C3"/>
    <w:rsid w:val="005425D7"/>
    <w:rsid w:val="005523E5"/>
    <w:rsid w:val="00566C50"/>
    <w:rsid w:val="0057297A"/>
    <w:rsid w:val="0057734E"/>
    <w:rsid w:val="00577C08"/>
    <w:rsid w:val="00595929"/>
    <w:rsid w:val="00596E08"/>
    <w:rsid w:val="005A2441"/>
    <w:rsid w:val="005A4689"/>
    <w:rsid w:val="005A52AE"/>
    <w:rsid w:val="005A74AD"/>
    <w:rsid w:val="005A79D4"/>
    <w:rsid w:val="005A7A6E"/>
    <w:rsid w:val="005B255C"/>
    <w:rsid w:val="005B2841"/>
    <w:rsid w:val="005C1F16"/>
    <w:rsid w:val="005C4FBC"/>
    <w:rsid w:val="005D0BB6"/>
    <w:rsid w:val="005D2033"/>
    <w:rsid w:val="005D3233"/>
    <w:rsid w:val="005E1E55"/>
    <w:rsid w:val="005E35DC"/>
    <w:rsid w:val="005E5FF2"/>
    <w:rsid w:val="005E6DDA"/>
    <w:rsid w:val="005E76FB"/>
    <w:rsid w:val="005F3EBE"/>
    <w:rsid w:val="005F692E"/>
    <w:rsid w:val="005F6E53"/>
    <w:rsid w:val="00602240"/>
    <w:rsid w:val="006038B1"/>
    <w:rsid w:val="006042F1"/>
    <w:rsid w:val="006106FA"/>
    <w:rsid w:val="00610C0F"/>
    <w:rsid w:val="006156A3"/>
    <w:rsid w:val="0061775E"/>
    <w:rsid w:val="00620DF9"/>
    <w:rsid w:val="006228F0"/>
    <w:rsid w:val="00631754"/>
    <w:rsid w:val="00643BF1"/>
    <w:rsid w:val="0065387E"/>
    <w:rsid w:val="00662BD1"/>
    <w:rsid w:val="0067304B"/>
    <w:rsid w:val="00681FB3"/>
    <w:rsid w:val="00686597"/>
    <w:rsid w:val="0068698A"/>
    <w:rsid w:val="006947DA"/>
    <w:rsid w:val="006954DB"/>
    <w:rsid w:val="006B3365"/>
    <w:rsid w:val="006B5A3D"/>
    <w:rsid w:val="006B5E65"/>
    <w:rsid w:val="006C216F"/>
    <w:rsid w:val="006C4996"/>
    <w:rsid w:val="006E3673"/>
    <w:rsid w:val="006E5A68"/>
    <w:rsid w:val="006E61B7"/>
    <w:rsid w:val="006F11DA"/>
    <w:rsid w:val="006F2B2D"/>
    <w:rsid w:val="006F46CD"/>
    <w:rsid w:val="00704F8F"/>
    <w:rsid w:val="0071374C"/>
    <w:rsid w:val="007154D1"/>
    <w:rsid w:val="00722593"/>
    <w:rsid w:val="00722AE2"/>
    <w:rsid w:val="00730697"/>
    <w:rsid w:val="00732823"/>
    <w:rsid w:val="0073319D"/>
    <w:rsid w:val="00733D83"/>
    <w:rsid w:val="007352AF"/>
    <w:rsid w:val="00735F37"/>
    <w:rsid w:val="00743B3D"/>
    <w:rsid w:val="00755BF6"/>
    <w:rsid w:val="00760773"/>
    <w:rsid w:val="007661CA"/>
    <w:rsid w:val="00781026"/>
    <w:rsid w:val="00786BD2"/>
    <w:rsid w:val="00790F53"/>
    <w:rsid w:val="0079356F"/>
    <w:rsid w:val="00794815"/>
    <w:rsid w:val="007A1FAE"/>
    <w:rsid w:val="007A52C1"/>
    <w:rsid w:val="007A6487"/>
    <w:rsid w:val="007B53C7"/>
    <w:rsid w:val="007B7A87"/>
    <w:rsid w:val="007D29BA"/>
    <w:rsid w:val="007E0C76"/>
    <w:rsid w:val="007E2BEE"/>
    <w:rsid w:val="007E54EF"/>
    <w:rsid w:val="007F0760"/>
    <w:rsid w:val="007F139A"/>
    <w:rsid w:val="007F18EB"/>
    <w:rsid w:val="007F20D0"/>
    <w:rsid w:val="007F2CA1"/>
    <w:rsid w:val="007F5B83"/>
    <w:rsid w:val="007F655C"/>
    <w:rsid w:val="008003C4"/>
    <w:rsid w:val="0080053F"/>
    <w:rsid w:val="008019D0"/>
    <w:rsid w:val="00803F4E"/>
    <w:rsid w:val="00820886"/>
    <w:rsid w:val="00821001"/>
    <w:rsid w:val="00821715"/>
    <w:rsid w:val="0082464C"/>
    <w:rsid w:val="00836777"/>
    <w:rsid w:val="00853B77"/>
    <w:rsid w:val="00855078"/>
    <w:rsid w:val="0085511B"/>
    <w:rsid w:val="00856628"/>
    <w:rsid w:val="008663BA"/>
    <w:rsid w:val="008725E9"/>
    <w:rsid w:val="00873E95"/>
    <w:rsid w:val="00882CF6"/>
    <w:rsid w:val="00887A56"/>
    <w:rsid w:val="00890032"/>
    <w:rsid w:val="008905D5"/>
    <w:rsid w:val="00892A2C"/>
    <w:rsid w:val="00893304"/>
    <w:rsid w:val="00894F2F"/>
    <w:rsid w:val="008950DF"/>
    <w:rsid w:val="00896F4E"/>
    <w:rsid w:val="008A3298"/>
    <w:rsid w:val="008A340B"/>
    <w:rsid w:val="008A75B4"/>
    <w:rsid w:val="008B0C68"/>
    <w:rsid w:val="008B5D47"/>
    <w:rsid w:val="008C1573"/>
    <w:rsid w:val="008C6749"/>
    <w:rsid w:val="008C6FE7"/>
    <w:rsid w:val="008C7356"/>
    <w:rsid w:val="008D308B"/>
    <w:rsid w:val="008D314F"/>
    <w:rsid w:val="008D67E6"/>
    <w:rsid w:val="008E1066"/>
    <w:rsid w:val="008E3AB2"/>
    <w:rsid w:val="008E4923"/>
    <w:rsid w:val="008F49E1"/>
    <w:rsid w:val="00901119"/>
    <w:rsid w:val="00903BC4"/>
    <w:rsid w:val="00907657"/>
    <w:rsid w:val="00916D42"/>
    <w:rsid w:val="009208BD"/>
    <w:rsid w:val="00921BB7"/>
    <w:rsid w:val="00933E79"/>
    <w:rsid w:val="00945B40"/>
    <w:rsid w:val="00945FAD"/>
    <w:rsid w:val="00950011"/>
    <w:rsid w:val="009539AF"/>
    <w:rsid w:val="009541DF"/>
    <w:rsid w:val="00966DDC"/>
    <w:rsid w:val="00973E37"/>
    <w:rsid w:val="00976D8B"/>
    <w:rsid w:val="009805A4"/>
    <w:rsid w:val="00984583"/>
    <w:rsid w:val="00984AB1"/>
    <w:rsid w:val="00987D74"/>
    <w:rsid w:val="00995402"/>
    <w:rsid w:val="009A35D7"/>
    <w:rsid w:val="009A3E7D"/>
    <w:rsid w:val="009A50FF"/>
    <w:rsid w:val="009A657B"/>
    <w:rsid w:val="009B02F7"/>
    <w:rsid w:val="009B0DDF"/>
    <w:rsid w:val="009B318F"/>
    <w:rsid w:val="009C4578"/>
    <w:rsid w:val="009C7EED"/>
    <w:rsid w:val="009D0147"/>
    <w:rsid w:val="009D6681"/>
    <w:rsid w:val="009E29FB"/>
    <w:rsid w:val="009E6689"/>
    <w:rsid w:val="009E6D11"/>
    <w:rsid w:val="009F2CC9"/>
    <w:rsid w:val="009F4DB6"/>
    <w:rsid w:val="00A014CE"/>
    <w:rsid w:val="00A01617"/>
    <w:rsid w:val="00A01656"/>
    <w:rsid w:val="00A02FB7"/>
    <w:rsid w:val="00A03BF2"/>
    <w:rsid w:val="00A0562C"/>
    <w:rsid w:val="00A0729F"/>
    <w:rsid w:val="00A14824"/>
    <w:rsid w:val="00A148EC"/>
    <w:rsid w:val="00A21934"/>
    <w:rsid w:val="00A2564F"/>
    <w:rsid w:val="00A40F44"/>
    <w:rsid w:val="00A454B2"/>
    <w:rsid w:val="00A50743"/>
    <w:rsid w:val="00A55F21"/>
    <w:rsid w:val="00A5621B"/>
    <w:rsid w:val="00A657EB"/>
    <w:rsid w:val="00A72F87"/>
    <w:rsid w:val="00A81744"/>
    <w:rsid w:val="00A81754"/>
    <w:rsid w:val="00A82E27"/>
    <w:rsid w:val="00A86A92"/>
    <w:rsid w:val="00A97AB8"/>
    <w:rsid w:val="00AA30C5"/>
    <w:rsid w:val="00AB30BA"/>
    <w:rsid w:val="00AB3714"/>
    <w:rsid w:val="00AB6D62"/>
    <w:rsid w:val="00AB76A4"/>
    <w:rsid w:val="00AC34E6"/>
    <w:rsid w:val="00AC74C7"/>
    <w:rsid w:val="00AC78CD"/>
    <w:rsid w:val="00AD77DB"/>
    <w:rsid w:val="00AD797E"/>
    <w:rsid w:val="00AE14F4"/>
    <w:rsid w:val="00AE5D6F"/>
    <w:rsid w:val="00AF40CD"/>
    <w:rsid w:val="00AF480F"/>
    <w:rsid w:val="00AF6B9F"/>
    <w:rsid w:val="00AF6F68"/>
    <w:rsid w:val="00AF71F9"/>
    <w:rsid w:val="00B0221B"/>
    <w:rsid w:val="00B07993"/>
    <w:rsid w:val="00B14340"/>
    <w:rsid w:val="00B15E2D"/>
    <w:rsid w:val="00B2287A"/>
    <w:rsid w:val="00B2346C"/>
    <w:rsid w:val="00B24A59"/>
    <w:rsid w:val="00B321B5"/>
    <w:rsid w:val="00B41E14"/>
    <w:rsid w:val="00B45FB7"/>
    <w:rsid w:val="00B465EB"/>
    <w:rsid w:val="00B56FAA"/>
    <w:rsid w:val="00B60EF0"/>
    <w:rsid w:val="00B612DA"/>
    <w:rsid w:val="00B61525"/>
    <w:rsid w:val="00B7072D"/>
    <w:rsid w:val="00B745C1"/>
    <w:rsid w:val="00B75533"/>
    <w:rsid w:val="00B81476"/>
    <w:rsid w:val="00B81502"/>
    <w:rsid w:val="00B95D99"/>
    <w:rsid w:val="00B9688D"/>
    <w:rsid w:val="00BA1166"/>
    <w:rsid w:val="00BA4643"/>
    <w:rsid w:val="00BB253C"/>
    <w:rsid w:val="00BB3AA7"/>
    <w:rsid w:val="00BB4405"/>
    <w:rsid w:val="00BB6D23"/>
    <w:rsid w:val="00BB7BC2"/>
    <w:rsid w:val="00BC03AA"/>
    <w:rsid w:val="00BC089D"/>
    <w:rsid w:val="00BC0FC0"/>
    <w:rsid w:val="00BC2448"/>
    <w:rsid w:val="00BC302C"/>
    <w:rsid w:val="00BC3A38"/>
    <w:rsid w:val="00BC4CE3"/>
    <w:rsid w:val="00BC54B2"/>
    <w:rsid w:val="00BD3DD6"/>
    <w:rsid w:val="00BE5AEB"/>
    <w:rsid w:val="00BF1EE8"/>
    <w:rsid w:val="00BF55EA"/>
    <w:rsid w:val="00BF7F28"/>
    <w:rsid w:val="00C049CA"/>
    <w:rsid w:val="00C06200"/>
    <w:rsid w:val="00C06654"/>
    <w:rsid w:val="00C12C84"/>
    <w:rsid w:val="00C15EBD"/>
    <w:rsid w:val="00C16B56"/>
    <w:rsid w:val="00C1743C"/>
    <w:rsid w:val="00C30CEC"/>
    <w:rsid w:val="00C31906"/>
    <w:rsid w:val="00C33225"/>
    <w:rsid w:val="00C340DE"/>
    <w:rsid w:val="00C35528"/>
    <w:rsid w:val="00C36297"/>
    <w:rsid w:val="00C40187"/>
    <w:rsid w:val="00C401FB"/>
    <w:rsid w:val="00C41050"/>
    <w:rsid w:val="00C4341B"/>
    <w:rsid w:val="00C534F7"/>
    <w:rsid w:val="00C53A7B"/>
    <w:rsid w:val="00C54AEB"/>
    <w:rsid w:val="00C554AF"/>
    <w:rsid w:val="00C56621"/>
    <w:rsid w:val="00C5792C"/>
    <w:rsid w:val="00C65B24"/>
    <w:rsid w:val="00C66FAC"/>
    <w:rsid w:val="00C72DF3"/>
    <w:rsid w:val="00C75925"/>
    <w:rsid w:val="00C77BE9"/>
    <w:rsid w:val="00C80F92"/>
    <w:rsid w:val="00C83DF5"/>
    <w:rsid w:val="00C85D75"/>
    <w:rsid w:val="00C864DC"/>
    <w:rsid w:val="00C8693F"/>
    <w:rsid w:val="00C91965"/>
    <w:rsid w:val="00C92BC5"/>
    <w:rsid w:val="00C937FA"/>
    <w:rsid w:val="00CA07CA"/>
    <w:rsid w:val="00CA2E58"/>
    <w:rsid w:val="00CA4126"/>
    <w:rsid w:val="00CA4852"/>
    <w:rsid w:val="00CA4D15"/>
    <w:rsid w:val="00CB2478"/>
    <w:rsid w:val="00CC2000"/>
    <w:rsid w:val="00CD553E"/>
    <w:rsid w:val="00CD5A1D"/>
    <w:rsid w:val="00CE404C"/>
    <w:rsid w:val="00CE4057"/>
    <w:rsid w:val="00CE499B"/>
    <w:rsid w:val="00CF1EED"/>
    <w:rsid w:val="00CF40FC"/>
    <w:rsid w:val="00D0149A"/>
    <w:rsid w:val="00D02962"/>
    <w:rsid w:val="00D0334D"/>
    <w:rsid w:val="00D051DB"/>
    <w:rsid w:val="00D06FDA"/>
    <w:rsid w:val="00D17E63"/>
    <w:rsid w:val="00D2294A"/>
    <w:rsid w:val="00D236D7"/>
    <w:rsid w:val="00D26B6C"/>
    <w:rsid w:val="00D2722D"/>
    <w:rsid w:val="00D308A6"/>
    <w:rsid w:val="00D3164A"/>
    <w:rsid w:val="00D31D6C"/>
    <w:rsid w:val="00D3359D"/>
    <w:rsid w:val="00D43D9C"/>
    <w:rsid w:val="00D4496D"/>
    <w:rsid w:val="00D45C09"/>
    <w:rsid w:val="00D4730D"/>
    <w:rsid w:val="00D548FC"/>
    <w:rsid w:val="00D55F36"/>
    <w:rsid w:val="00D560DC"/>
    <w:rsid w:val="00D60D1B"/>
    <w:rsid w:val="00D650B0"/>
    <w:rsid w:val="00D660B5"/>
    <w:rsid w:val="00D662C9"/>
    <w:rsid w:val="00D66ABD"/>
    <w:rsid w:val="00D732FB"/>
    <w:rsid w:val="00D75094"/>
    <w:rsid w:val="00D90783"/>
    <w:rsid w:val="00D95D2A"/>
    <w:rsid w:val="00DA2245"/>
    <w:rsid w:val="00DA455C"/>
    <w:rsid w:val="00DA48DB"/>
    <w:rsid w:val="00DA696C"/>
    <w:rsid w:val="00DA764A"/>
    <w:rsid w:val="00DB34F5"/>
    <w:rsid w:val="00DB3679"/>
    <w:rsid w:val="00DB5904"/>
    <w:rsid w:val="00DB5CD5"/>
    <w:rsid w:val="00DB786A"/>
    <w:rsid w:val="00DD1956"/>
    <w:rsid w:val="00DD530C"/>
    <w:rsid w:val="00DD5E7B"/>
    <w:rsid w:val="00DE409B"/>
    <w:rsid w:val="00DE585E"/>
    <w:rsid w:val="00DE7A77"/>
    <w:rsid w:val="00E000D2"/>
    <w:rsid w:val="00E10301"/>
    <w:rsid w:val="00E143B1"/>
    <w:rsid w:val="00E153DB"/>
    <w:rsid w:val="00E15C6C"/>
    <w:rsid w:val="00E33E7C"/>
    <w:rsid w:val="00E35B62"/>
    <w:rsid w:val="00E366F9"/>
    <w:rsid w:val="00E40678"/>
    <w:rsid w:val="00E460B2"/>
    <w:rsid w:val="00E46F6E"/>
    <w:rsid w:val="00E47880"/>
    <w:rsid w:val="00E47EE2"/>
    <w:rsid w:val="00E50EE1"/>
    <w:rsid w:val="00E51619"/>
    <w:rsid w:val="00E521AD"/>
    <w:rsid w:val="00E5225F"/>
    <w:rsid w:val="00E55C27"/>
    <w:rsid w:val="00E576E6"/>
    <w:rsid w:val="00E60207"/>
    <w:rsid w:val="00E6517E"/>
    <w:rsid w:val="00E90BBC"/>
    <w:rsid w:val="00E923B9"/>
    <w:rsid w:val="00E949A1"/>
    <w:rsid w:val="00EA0B18"/>
    <w:rsid w:val="00EA2898"/>
    <w:rsid w:val="00EA63BA"/>
    <w:rsid w:val="00EA794B"/>
    <w:rsid w:val="00EB0A7F"/>
    <w:rsid w:val="00EB4756"/>
    <w:rsid w:val="00EB706B"/>
    <w:rsid w:val="00EC3F10"/>
    <w:rsid w:val="00ED1E14"/>
    <w:rsid w:val="00ED6885"/>
    <w:rsid w:val="00EF0477"/>
    <w:rsid w:val="00EF4EE7"/>
    <w:rsid w:val="00EF6C1B"/>
    <w:rsid w:val="00F034BE"/>
    <w:rsid w:val="00F16D69"/>
    <w:rsid w:val="00F16FC0"/>
    <w:rsid w:val="00F231B8"/>
    <w:rsid w:val="00F2449F"/>
    <w:rsid w:val="00F24C7A"/>
    <w:rsid w:val="00F258B8"/>
    <w:rsid w:val="00F31FA7"/>
    <w:rsid w:val="00F33335"/>
    <w:rsid w:val="00F360D0"/>
    <w:rsid w:val="00F46B27"/>
    <w:rsid w:val="00F46BAA"/>
    <w:rsid w:val="00F46EF7"/>
    <w:rsid w:val="00F4726C"/>
    <w:rsid w:val="00F50DC8"/>
    <w:rsid w:val="00F52C02"/>
    <w:rsid w:val="00F57682"/>
    <w:rsid w:val="00F627E6"/>
    <w:rsid w:val="00F64FDB"/>
    <w:rsid w:val="00F7085A"/>
    <w:rsid w:val="00F821DB"/>
    <w:rsid w:val="00F9160C"/>
    <w:rsid w:val="00F945B0"/>
    <w:rsid w:val="00FA03D8"/>
    <w:rsid w:val="00FA1841"/>
    <w:rsid w:val="00FA3109"/>
    <w:rsid w:val="00FA3690"/>
    <w:rsid w:val="00FB0367"/>
    <w:rsid w:val="00FB1933"/>
    <w:rsid w:val="00FB2873"/>
    <w:rsid w:val="00FC1313"/>
    <w:rsid w:val="00FC29CB"/>
    <w:rsid w:val="00FC60E8"/>
    <w:rsid w:val="00FD11A0"/>
    <w:rsid w:val="00FD45F9"/>
    <w:rsid w:val="00FD4E53"/>
    <w:rsid w:val="00FD6663"/>
    <w:rsid w:val="00FD7C2D"/>
    <w:rsid w:val="00FE6B07"/>
    <w:rsid w:val="00FF2461"/>
    <w:rsid w:val="00FF3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C09746"/>
  <w15:chartTrackingRefBased/>
  <w15:docId w15:val="{AC8146AC-91C2-4DB2-9FD2-C58B93E9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56"/>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3E38FA"/>
    <w:pPr>
      <w:outlineLvl w:val="3"/>
    </w:pPr>
    <w:rPr>
      <w:b/>
      <w:iCs/>
      <w:color w:val="212A4C" w:themeColor="text2"/>
      <w:sz w:val="20"/>
    </w:rPr>
  </w:style>
  <w:style w:type="paragraph" w:styleId="Heading5">
    <w:name w:val="heading 5"/>
    <w:basedOn w:val="Heading4"/>
    <w:next w:val="Normal"/>
    <w:link w:val="Heading5Char"/>
    <w:uiPriority w:val="4"/>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3E38FA"/>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2"/>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F24C7A"/>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2"/>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3"/>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4"/>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C554AF"/>
    <w:pPr>
      <w:ind w:left="720"/>
      <w:contextualSpacing/>
    </w:pPr>
  </w:style>
  <w:style w:type="character" w:styleId="CommentReference">
    <w:name w:val="annotation reference"/>
    <w:basedOn w:val="DefaultParagraphFont"/>
    <w:uiPriority w:val="99"/>
    <w:semiHidden/>
    <w:unhideWhenUsed/>
    <w:rsid w:val="00755BF6"/>
    <w:rPr>
      <w:sz w:val="16"/>
      <w:szCs w:val="16"/>
    </w:rPr>
  </w:style>
  <w:style w:type="paragraph" w:styleId="CommentText">
    <w:name w:val="annotation text"/>
    <w:basedOn w:val="Normal"/>
    <w:link w:val="CommentTextChar"/>
    <w:uiPriority w:val="99"/>
    <w:semiHidden/>
    <w:unhideWhenUsed/>
    <w:rsid w:val="00755BF6"/>
    <w:pPr>
      <w:spacing w:line="240" w:lineRule="auto"/>
    </w:pPr>
  </w:style>
  <w:style w:type="character" w:customStyle="1" w:styleId="CommentTextChar">
    <w:name w:val="Comment Text Char"/>
    <w:basedOn w:val="DefaultParagraphFont"/>
    <w:link w:val="CommentText"/>
    <w:uiPriority w:val="99"/>
    <w:semiHidden/>
    <w:rsid w:val="00755BF6"/>
  </w:style>
  <w:style w:type="paragraph" w:styleId="CommentSubject">
    <w:name w:val="annotation subject"/>
    <w:basedOn w:val="CommentText"/>
    <w:next w:val="CommentText"/>
    <w:link w:val="CommentSubjectChar"/>
    <w:uiPriority w:val="99"/>
    <w:semiHidden/>
    <w:unhideWhenUsed/>
    <w:rsid w:val="00755BF6"/>
    <w:rPr>
      <w:b/>
      <w:bCs/>
    </w:rPr>
  </w:style>
  <w:style w:type="character" w:customStyle="1" w:styleId="CommentSubjectChar">
    <w:name w:val="Comment Subject Char"/>
    <w:basedOn w:val="CommentTextChar"/>
    <w:link w:val="CommentSubject"/>
    <w:uiPriority w:val="99"/>
    <w:semiHidden/>
    <w:rsid w:val="00755BF6"/>
    <w:rPr>
      <w:b/>
      <w:bCs/>
    </w:rPr>
  </w:style>
  <w:style w:type="paragraph" w:styleId="BalloonText">
    <w:name w:val="Balloon Text"/>
    <w:basedOn w:val="Normal"/>
    <w:link w:val="BalloonTextChar"/>
    <w:uiPriority w:val="99"/>
    <w:semiHidden/>
    <w:unhideWhenUsed/>
    <w:rsid w:val="00755B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F6"/>
    <w:rPr>
      <w:rFonts w:ascii="Segoe UI" w:hAnsi="Segoe UI" w:cs="Segoe UI"/>
      <w:sz w:val="18"/>
      <w:szCs w:val="18"/>
    </w:r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E55C27"/>
  </w:style>
  <w:style w:type="paragraph" w:styleId="ListBullet2">
    <w:name w:val="List Bullet 2"/>
    <w:basedOn w:val="Normal"/>
    <w:uiPriority w:val="99"/>
    <w:unhideWhenUsed/>
    <w:rsid w:val="00D3164A"/>
    <w:pPr>
      <w:tabs>
        <w:tab w:val="num" w:pos="720"/>
      </w:tabs>
      <w:spacing w:before="0" w:after="160" w:line="264" w:lineRule="auto"/>
      <w:ind w:left="720" w:hanging="360"/>
    </w:pPr>
    <w:rPr>
      <w:rFonts w:eastAsiaTheme="minorHAnsi"/>
      <w:color w:val="auto"/>
      <w:szCs w:val="26"/>
      <w:lang w:val="en-US" w:eastAsia="ja-JP"/>
    </w:rPr>
  </w:style>
  <w:style w:type="character" w:styleId="FollowedHyperlink">
    <w:name w:val="FollowedHyperlink"/>
    <w:basedOn w:val="DefaultParagraphFont"/>
    <w:uiPriority w:val="99"/>
    <w:semiHidden/>
    <w:unhideWhenUsed/>
    <w:rsid w:val="00157EFE"/>
    <w:rPr>
      <w:color w:val="0046FF" w:themeColor="followedHyperlink"/>
      <w:u w:val="single"/>
    </w:rPr>
  </w:style>
  <w:style w:type="paragraph" w:styleId="Revision">
    <w:name w:val="Revision"/>
    <w:hidden/>
    <w:uiPriority w:val="99"/>
    <w:semiHidden/>
    <w:rsid w:val="00144C7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954">
      <w:bodyDiv w:val="1"/>
      <w:marLeft w:val="0"/>
      <w:marRight w:val="0"/>
      <w:marTop w:val="0"/>
      <w:marBottom w:val="0"/>
      <w:divBdr>
        <w:top w:val="none" w:sz="0" w:space="0" w:color="auto"/>
        <w:left w:val="none" w:sz="0" w:space="0" w:color="auto"/>
        <w:bottom w:val="none" w:sz="0" w:space="0" w:color="auto"/>
        <w:right w:val="none" w:sz="0" w:space="0" w:color="auto"/>
      </w:divBdr>
    </w:div>
    <w:div w:id="569659426">
      <w:bodyDiv w:val="1"/>
      <w:marLeft w:val="0"/>
      <w:marRight w:val="0"/>
      <w:marTop w:val="0"/>
      <w:marBottom w:val="0"/>
      <w:divBdr>
        <w:top w:val="none" w:sz="0" w:space="0" w:color="auto"/>
        <w:left w:val="none" w:sz="0" w:space="0" w:color="auto"/>
        <w:bottom w:val="none" w:sz="0" w:space="0" w:color="auto"/>
        <w:right w:val="none" w:sz="0" w:space="0" w:color="auto"/>
      </w:divBdr>
    </w:div>
    <w:div w:id="867328303">
      <w:bodyDiv w:val="1"/>
      <w:marLeft w:val="0"/>
      <w:marRight w:val="0"/>
      <w:marTop w:val="0"/>
      <w:marBottom w:val="0"/>
      <w:divBdr>
        <w:top w:val="none" w:sz="0" w:space="0" w:color="auto"/>
        <w:left w:val="none" w:sz="0" w:space="0" w:color="auto"/>
        <w:bottom w:val="none" w:sz="0" w:space="0" w:color="auto"/>
        <w:right w:val="none" w:sz="0" w:space="0" w:color="auto"/>
      </w:divBdr>
    </w:div>
    <w:div w:id="1065950833">
      <w:bodyDiv w:val="1"/>
      <w:marLeft w:val="0"/>
      <w:marRight w:val="0"/>
      <w:marTop w:val="0"/>
      <w:marBottom w:val="0"/>
      <w:divBdr>
        <w:top w:val="none" w:sz="0" w:space="0" w:color="auto"/>
        <w:left w:val="none" w:sz="0" w:space="0" w:color="auto"/>
        <w:bottom w:val="none" w:sz="0" w:space="0" w:color="auto"/>
        <w:right w:val="none" w:sz="0" w:space="0" w:color="auto"/>
      </w:divBdr>
    </w:div>
    <w:div w:id="1123307490">
      <w:bodyDiv w:val="1"/>
      <w:marLeft w:val="0"/>
      <w:marRight w:val="0"/>
      <w:marTop w:val="0"/>
      <w:marBottom w:val="0"/>
      <w:divBdr>
        <w:top w:val="none" w:sz="0" w:space="0" w:color="auto"/>
        <w:left w:val="none" w:sz="0" w:space="0" w:color="auto"/>
        <w:bottom w:val="none" w:sz="0" w:space="0" w:color="auto"/>
        <w:right w:val="none" w:sz="0" w:space="0" w:color="auto"/>
      </w:divBdr>
    </w:div>
    <w:div w:id="1129741662">
      <w:bodyDiv w:val="1"/>
      <w:marLeft w:val="0"/>
      <w:marRight w:val="0"/>
      <w:marTop w:val="0"/>
      <w:marBottom w:val="0"/>
      <w:divBdr>
        <w:top w:val="none" w:sz="0" w:space="0" w:color="auto"/>
        <w:left w:val="none" w:sz="0" w:space="0" w:color="auto"/>
        <w:bottom w:val="none" w:sz="0" w:space="0" w:color="auto"/>
        <w:right w:val="none" w:sz="0" w:space="0" w:color="auto"/>
      </w:divBdr>
      <w:divsChild>
        <w:div w:id="834685752">
          <w:marLeft w:val="0"/>
          <w:marRight w:val="0"/>
          <w:marTop w:val="0"/>
          <w:marBottom w:val="0"/>
          <w:divBdr>
            <w:top w:val="none" w:sz="0" w:space="0" w:color="auto"/>
            <w:left w:val="none" w:sz="0" w:space="0" w:color="auto"/>
            <w:bottom w:val="none" w:sz="0" w:space="0" w:color="auto"/>
            <w:right w:val="none" w:sz="0" w:space="0" w:color="auto"/>
          </w:divBdr>
          <w:divsChild>
            <w:div w:id="2144033059">
              <w:marLeft w:val="0"/>
              <w:marRight w:val="0"/>
              <w:marTop w:val="0"/>
              <w:marBottom w:val="0"/>
              <w:divBdr>
                <w:top w:val="none" w:sz="0" w:space="0" w:color="auto"/>
                <w:left w:val="none" w:sz="0" w:space="0" w:color="auto"/>
                <w:bottom w:val="none" w:sz="0" w:space="0" w:color="auto"/>
                <w:right w:val="none" w:sz="0" w:space="0" w:color="auto"/>
              </w:divBdr>
              <w:divsChild>
                <w:div w:id="1992052615">
                  <w:marLeft w:val="0"/>
                  <w:marRight w:val="0"/>
                  <w:marTop w:val="0"/>
                  <w:marBottom w:val="0"/>
                  <w:divBdr>
                    <w:top w:val="none" w:sz="0" w:space="0" w:color="auto"/>
                    <w:left w:val="none" w:sz="0" w:space="0" w:color="auto"/>
                    <w:bottom w:val="none" w:sz="0" w:space="0" w:color="auto"/>
                    <w:right w:val="none" w:sz="0" w:space="0" w:color="auto"/>
                  </w:divBdr>
                  <w:divsChild>
                    <w:div w:id="826167935">
                      <w:marLeft w:val="0"/>
                      <w:marRight w:val="0"/>
                      <w:marTop w:val="0"/>
                      <w:marBottom w:val="0"/>
                      <w:divBdr>
                        <w:top w:val="none" w:sz="0" w:space="0" w:color="auto"/>
                        <w:left w:val="none" w:sz="0" w:space="0" w:color="auto"/>
                        <w:bottom w:val="none" w:sz="0" w:space="0" w:color="auto"/>
                        <w:right w:val="none" w:sz="0" w:space="0" w:color="auto"/>
                      </w:divBdr>
                      <w:divsChild>
                        <w:div w:id="1632710404">
                          <w:marLeft w:val="0"/>
                          <w:marRight w:val="0"/>
                          <w:marTop w:val="0"/>
                          <w:marBottom w:val="0"/>
                          <w:divBdr>
                            <w:top w:val="none" w:sz="0" w:space="0" w:color="auto"/>
                            <w:left w:val="none" w:sz="0" w:space="0" w:color="auto"/>
                            <w:bottom w:val="none" w:sz="0" w:space="0" w:color="auto"/>
                            <w:right w:val="none" w:sz="0" w:space="0" w:color="auto"/>
                          </w:divBdr>
                          <w:divsChild>
                            <w:div w:id="101340475">
                              <w:marLeft w:val="0"/>
                              <w:marRight w:val="0"/>
                              <w:marTop w:val="0"/>
                              <w:marBottom w:val="0"/>
                              <w:divBdr>
                                <w:top w:val="none" w:sz="0" w:space="0" w:color="auto"/>
                                <w:left w:val="none" w:sz="0" w:space="0" w:color="auto"/>
                                <w:bottom w:val="none" w:sz="0" w:space="0" w:color="auto"/>
                                <w:right w:val="none" w:sz="0" w:space="0" w:color="auto"/>
                              </w:divBdr>
                              <w:divsChild>
                                <w:div w:id="1549343272">
                                  <w:marLeft w:val="0"/>
                                  <w:marRight w:val="0"/>
                                  <w:marTop w:val="0"/>
                                  <w:marBottom w:val="0"/>
                                  <w:divBdr>
                                    <w:top w:val="none" w:sz="0" w:space="0" w:color="auto"/>
                                    <w:left w:val="none" w:sz="0" w:space="0" w:color="auto"/>
                                    <w:bottom w:val="none" w:sz="0" w:space="0" w:color="auto"/>
                                    <w:right w:val="none" w:sz="0" w:space="0" w:color="auto"/>
                                  </w:divBdr>
                                  <w:divsChild>
                                    <w:div w:id="346445325">
                                      <w:marLeft w:val="0"/>
                                      <w:marRight w:val="0"/>
                                      <w:marTop w:val="0"/>
                                      <w:marBottom w:val="0"/>
                                      <w:divBdr>
                                        <w:top w:val="none" w:sz="0" w:space="0" w:color="auto"/>
                                        <w:left w:val="none" w:sz="0" w:space="0" w:color="auto"/>
                                        <w:bottom w:val="none" w:sz="0" w:space="0" w:color="auto"/>
                                        <w:right w:val="none" w:sz="0" w:space="0" w:color="auto"/>
                                      </w:divBdr>
                                      <w:divsChild>
                                        <w:div w:id="760370523">
                                          <w:marLeft w:val="0"/>
                                          <w:marRight w:val="0"/>
                                          <w:marTop w:val="0"/>
                                          <w:marBottom w:val="0"/>
                                          <w:divBdr>
                                            <w:top w:val="none" w:sz="0" w:space="0" w:color="auto"/>
                                            <w:left w:val="none" w:sz="0" w:space="0" w:color="auto"/>
                                            <w:bottom w:val="none" w:sz="0" w:space="0" w:color="auto"/>
                                            <w:right w:val="none" w:sz="0" w:space="0" w:color="auto"/>
                                          </w:divBdr>
                                          <w:divsChild>
                                            <w:div w:id="466779619">
                                              <w:marLeft w:val="0"/>
                                              <w:marRight w:val="0"/>
                                              <w:marTop w:val="0"/>
                                              <w:marBottom w:val="0"/>
                                              <w:divBdr>
                                                <w:top w:val="none" w:sz="0" w:space="0" w:color="auto"/>
                                                <w:left w:val="none" w:sz="0" w:space="0" w:color="auto"/>
                                                <w:bottom w:val="none" w:sz="0" w:space="0" w:color="auto"/>
                                                <w:right w:val="none" w:sz="0" w:space="0" w:color="auto"/>
                                              </w:divBdr>
                                              <w:divsChild>
                                                <w:div w:id="509413567">
                                                  <w:marLeft w:val="0"/>
                                                  <w:marRight w:val="0"/>
                                                  <w:marTop w:val="0"/>
                                                  <w:marBottom w:val="0"/>
                                                  <w:divBdr>
                                                    <w:top w:val="single" w:sz="6" w:space="0" w:color="ABABAB"/>
                                                    <w:left w:val="single" w:sz="6" w:space="0" w:color="ABABAB"/>
                                                    <w:bottom w:val="none" w:sz="0" w:space="0" w:color="auto"/>
                                                    <w:right w:val="single" w:sz="6" w:space="0" w:color="ABABAB"/>
                                                  </w:divBdr>
                                                  <w:divsChild>
                                                    <w:div w:id="67313530">
                                                      <w:marLeft w:val="0"/>
                                                      <w:marRight w:val="0"/>
                                                      <w:marTop w:val="0"/>
                                                      <w:marBottom w:val="0"/>
                                                      <w:divBdr>
                                                        <w:top w:val="none" w:sz="0" w:space="0" w:color="auto"/>
                                                        <w:left w:val="none" w:sz="0" w:space="0" w:color="auto"/>
                                                        <w:bottom w:val="none" w:sz="0" w:space="0" w:color="auto"/>
                                                        <w:right w:val="none" w:sz="0" w:space="0" w:color="auto"/>
                                                      </w:divBdr>
                                                      <w:divsChild>
                                                        <w:div w:id="500969609">
                                                          <w:marLeft w:val="0"/>
                                                          <w:marRight w:val="0"/>
                                                          <w:marTop w:val="0"/>
                                                          <w:marBottom w:val="0"/>
                                                          <w:divBdr>
                                                            <w:top w:val="none" w:sz="0" w:space="0" w:color="auto"/>
                                                            <w:left w:val="none" w:sz="0" w:space="0" w:color="auto"/>
                                                            <w:bottom w:val="none" w:sz="0" w:space="0" w:color="auto"/>
                                                            <w:right w:val="none" w:sz="0" w:space="0" w:color="auto"/>
                                                          </w:divBdr>
                                                          <w:divsChild>
                                                            <w:div w:id="207231309">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483160576">
                                                                      <w:marLeft w:val="0"/>
                                                                      <w:marRight w:val="0"/>
                                                                      <w:marTop w:val="0"/>
                                                                      <w:marBottom w:val="0"/>
                                                                      <w:divBdr>
                                                                        <w:top w:val="none" w:sz="0" w:space="0" w:color="auto"/>
                                                                        <w:left w:val="none" w:sz="0" w:space="0" w:color="auto"/>
                                                                        <w:bottom w:val="none" w:sz="0" w:space="0" w:color="auto"/>
                                                                        <w:right w:val="none" w:sz="0" w:space="0" w:color="auto"/>
                                                                      </w:divBdr>
                                                                      <w:divsChild>
                                                                        <w:div w:id="1210646690">
                                                                          <w:marLeft w:val="0"/>
                                                                          <w:marRight w:val="0"/>
                                                                          <w:marTop w:val="0"/>
                                                                          <w:marBottom w:val="0"/>
                                                                          <w:divBdr>
                                                                            <w:top w:val="none" w:sz="0" w:space="0" w:color="auto"/>
                                                                            <w:left w:val="none" w:sz="0" w:space="0" w:color="auto"/>
                                                                            <w:bottom w:val="none" w:sz="0" w:space="0" w:color="auto"/>
                                                                            <w:right w:val="none" w:sz="0" w:space="0" w:color="auto"/>
                                                                          </w:divBdr>
                                                                          <w:divsChild>
                                                                            <w:div w:id="1512333990">
                                                                              <w:marLeft w:val="0"/>
                                                                              <w:marRight w:val="0"/>
                                                                              <w:marTop w:val="0"/>
                                                                              <w:marBottom w:val="0"/>
                                                                              <w:divBdr>
                                                                                <w:top w:val="none" w:sz="0" w:space="0" w:color="auto"/>
                                                                                <w:left w:val="none" w:sz="0" w:space="0" w:color="auto"/>
                                                                                <w:bottom w:val="none" w:sz="0" w:space="0" w:color="auto"/>
                                                                                <w:right w:val="none" w:sz="0" w:space="0" w:color="auto"/>
                                                                              </w:divBdr>
                                                                              <w:divsChild>
                                                                                <w:div w:id="809514654">
                                                                                  <w:marLeft w:val="-75"/>
                                                                                  <w:marRight w:val="0"/>
                                                                                  <w:marTop w:val="30"/>
                                                                                  <w:marBottom w:val="30"/>
                                                                                  <w:divBdr>
                                                                                    <w:top w:val="none" w:sz="0" w:space="0" w:color="auto"/>
                                                                                    <w:left w:val="none" w:sz="0" w:space="0" w:color="auto"/>
                                                                                    <w:bottom w:val="none" w:sz="0" w:space="0" w:color="auto"/>
                                                                                    <w:right w:val="none" w:sz="0" w:space="0" w:color="auto"/>
                                                                                  </w:divBdr>
                                                                                  <w:divsChild>
                                                                                    <w:div w:id="65999929">
                                                                                      <w:marLeft w:val="0"/>
                                                                                      <w:marRight w:val="0"/>
                                                                                      <w:marTop w:val="0"/>
                                                                                      <w:marBottom w:val="0"/>
                                                                                      <w:divBdr>
                                                                                        <w:top w:val="none" w:sz="0" w:space="0" w:color="auto"/>
                                                                                        <w:left w:val="none" w:sz="0" w:space="0" w:color="auto"/>
                                                                                        <w:bottom w:val="none" w:sz="0" w:space="0" w:color="auto"/>
                                                                                        <w:right w:val="none" w:sz="0" w:space="0" w:color="auto"/>
                                                                                      </w:divBdr>
                                                                                      <w:divsChild>
                                                                                        <w:div w:id="17964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834154">
      <w:bodyDiv w:val="1"/>
      <w:marLeft w:val="0"/>
      <w:marRight w:val="0"/>
      <w:marTop w:val="0"/>
      <w:marBottom w:val="0"/>
      <w:divBdr>
        <w:top w:val="none" w:sz="0" w:space="0" w:color="auto"/>
        <w:left w:val="none" w:sz="0" w:space="0" w:color="auto"/>
        <w:bottom w:val="none" w:sz="0" w:space="0" w:color="auto"/>
        <w:right w:val="none" w:sz="0" w:space="0" w:color="auto"/>
      </w:divBdr>
    </w:div>
    <w:div w:id="1470443206">
      <w:bodyDiv w:val="1"/>
      <w:marLeft w:val="0"/>
      <w:marRight w:val="0"/>
      <w:marTop w:val="0"/>
      <w:marBottom w:val="0"/>
      <w:divBdr>
        <w:top w:val="none" w:sz="0" w:space="0" w:color="auto"/>
        <w:left w:val="none" w:sz="0" w:space="0" w:color="auto"/>
        <w:bottom w:val="none" w:sz="0" w:space="0" w:color="auto"/>
        <w:right w:val="none" w:sz="0" w:space="0" w:color="auto"/>
      </w:divBdr>
    </w:div>
    <w:div w:id="1526596191">
      <w:bodyDiv w:val="1"/>
      <w:marLeft w:val="0"/>
      <w:marRight w:val="0"/>
      <w:marTop w:val="0"/>
      <w:marBottom w:val="0"/>
      <w:divBdr>
        <w:top w:val="none" w:sz="0" w:space="0" w:color="auto"/>
        <w:left w:val="none" w:sz="0" w:space="0" w:color="auto"/>
        <w:bottom w:val="none" w:sz="0" w:space="0" w:color="auto"/>
        <w:right w:val="none" w:sz="0" w:space="0" w:color="auto"/>
      </w:divBdr>
    </w:div>
    <w:div w:id="1538664542">
      <w:bodyDiv w:val="1"/>
      <w:marLeft w:val="0"/>
      <w:marRight w:val="0"/>
      <w:marTop w:val="0"/>
      <w:marBottom w:val="0"/>
      <w:divBdr>
        <w:top w:val="none" w:sz="0" w:space="0" w:color="auto"/>
        <w:left w:val="none" w:sz="0" w:space="0" w:color="auto"/>
        <w:bottom w:val="none" w:sz="0" w:space="0" w:color="auto"/>
        <w:right w:val="none" w:sz="0" w:space="0" w:color="auto"/>
      </w:divBdr>
    </w:div>
    <w:div w:id="1755128947">
      <w:bodyDiv w:val="1"/>
      <w:marLeft w:val="0"/>
      <w:marRight w:val="0"/>
      <w:marTop w:val="0"/>
      <w:marBottom w:val="0"/>
      <w:divBdr>
        <w:top w:val="none" w:sz="0" w:space="0" w:color="auto"/>
        <w:left w:val="none" w:sz="0" w:space="0" w:color="auto"/>
        <w:bottom w:val="none" w:sz="0" w:space="0" w:color="auto"/>
        <w:right w:val="none" w:sz="0" w:space="0" w:color="auto"/>
      </w:divBdr>
    </w:div>
    <w:div w:id="1783497290">
      <w:bodyDiv w:val="1"/>
      <w:marLeft w:val="0"/>
      <w:marRight w:val="0"/>
      <w:marTop w:val="0"/>
      <w:marBottom w:val="0"/>
      <w:divBdr>
        <w:top w:val="none" w:sz="0" w:space="0" w:color="auto"/>
        <w:left w:val="none" w:sz="0" w:space="0" w:color="auto"/>
        <w:bottom w:val="none" w:sz="0" w:space="0" w:color="auto"/>
        <w:right w:val="none" w:sz="0" w:space="0" w:color="auto"/>
      </w:divBdr>
    </w:div>
    <w:div w:id="1811902442">
      <w:bodyDiv w:val="1"/>
      <w:marLeft w:val="0"/>
      <w:marRight w:val="0"/>
      <w:marTop w:val="0"/>
      <w:marBottom w:val="0"/>
      <w:divBdr>
        <w:top w:val="none" w:sz="0" w:space="0" w:color="auto"/>
        <w:left w:val="none" w:sz="0" w:space="0" w:color="auto"/>
        <w:bottom w:val="none" w:sz="0" w:space="0" w:color="auto"/>
        <w:right w:val="none" w:sz="0" w:space="0" w:color="auto"/>
      </w:divBdr>
    </w:div>
    <w:div w:id="1994287712">
      <w:bodyDiv w:val="1"/>
      <w:marLeft w:val="0"/>
      <w:marRight w:val="0"/>
      <w:marTop w:val="0"/>
      <w:marBottom w:val="0"/>
      <w:divBdr>
        <w:top w:val="none" w:sz="0" w:space="0" w:color="auto"/>
        <w:left w:val="none" w:sz="0" w:space="0" w:color="auto"/>
        <w:bottom w:val="none" w:sz="0" w:space="0" w:color="auto"/>
        <w:right w:val="none" w:sz="0" w:space="0" w:color="auto"/>
      </w:divBdr>
    </w:div>
    <w:div w:id="2031299449">
      <w:bodyDiv w:val="1"/>
      <w:marLeft w:val="0"/>
      <w:marRight w:val="0"/>
      <w:marTop w:val="0"/>
      <w:marBottom w:val="0"/>
      <w:divBdr>
        <w:top w:val="none" w:sz="0" w:space="0" w:color="auto"/>
        <w:left w:val="none" w:sz="0" w:space="0" w:color="auto"/>
        <w:bottom w:val="none" w:sz="0" w:space="0" w:color="auto"/>
        <w:right w:val="none" w:sz="0" w:space="0" w:color="auto"/>
      </w:divBdr>
    </w:div>
    <w:div w:id="21064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s.gov.au/statistics/classifications/australian-and-new-zealand-standard-research-classification-anzsrc/latest-release" TargetMode="External"/><Relationship Id="rId18" Type="http://schemas.openxmlformats.org/officeDocument/2006/relationships/hyperlink" Target="https://teams.microsoft.com/registration/QiCd6ePBE02mDiDTuzkXfA,pIsRgh52bUK-ts3ddZIwzg,2y4L0SxiWkOGSmk22cTUQw,-qA5fc22EEy8FJVFPcdrgQ,HwQitkbcYUyZNp8A-AjqgQ,szXGtBMXAEaVjvJfssChKg?mode=read&amp;tenantId=e99d2042-c1e3-4d13-a60e-20d3bb39177c" TargetMode="External"/><Relationship Id="rId26" Type="http://schemas.openxmlformats.org/officeDocument/2006/relationships/hyperlink" Target="https://www.digitalidentity.gov.au/"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business.gov.au/grants-and-programs/research-and-development-tax-incentive/latest-updates-to-the-rdti-content?mc_cid=e4e6e5a986&amp;mc_eid=afd1a2b7bc&amp;mc_cid=e4e6e5a986&amp;mc_eid=afd1a2b7bc"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igitalidentity.gov.au/" TargetMode="External"/><Relationship Id="rId17" Type="http://schemas.openxmlformats.org/officeDocument/2006/relationships/hyperlink" Target="https://teams.microsoft.com/registration/QiCd6ePBE02mDiDTuzkXfA,pIsRgh52bUK-ts3ddZIwzg,2y4L0SxiWkOGSmk22cTUQw,Cd5083_0pUWi-_Yo-3RhTw,34dHG5rhXE-a0nx0uO5gyg,2uq2_6gvJUWgW2otIBP6Gw?mode=read&amp;tenantId=e99d2042-c1e3-4d13-a60e-20d3bb39177c" TargetMode="External"/><Relationship Id="rId25" Type="http://schemas.openxmlformats.org/officeDocument/2006/relationships/hyperlink" Target="mailto:rdti.engagement@industry.gov.au"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rdti.engagement@industry.gov.au" TargetMode="External"/><Relationship Id="rId20" Type="http://schemas.openxmlformats.org/officeDocument/2006/relationships/hyperlink" Target="https://business.gov.au/grants-and-programs/research-and-development-tax-incentive/assess-if-your-randd-activities-are-eligibl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research-and-development-tax-incentive/assess-if-your-randd-activities-are-eligible"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innovationtax@ato.gov.au" TargetMode="External"/><Relationship Id="rId23" Type="http://schemas.openxmlformats.org/officeDocument/2006/relationships/hyperlink" Target="https://business.gov.au/grants-and-programs/research-and-development-tax-incentive/assess-if-your-randd-activities-are-eligible/clinical-trials-determination-guide" TargetMode="External"/><Relationship Id="rId28" Type="http://schemas.openxmlformats.org/officeDocument/2006/relationships/hyperlink" Target="https://www.abs.gov.au/statistics/classifications/australian-and-new-zealand-standard-research-classification-anzsrc/latest-release" TargetMode="External"/><Relationship Id="rId10" Type="http://schemas.openxmlformats.org/officeDocument/2006/relationships/footnotes" Target="footnotes.xml"/><Relationship Id="rId19" Type="http://schemas.openxmlformats.org/officeDocument/2006/relationships/hyperlink" Target="https://business.gov.au/grants-and-programs/research-and-development-tax-incentive/events-and-information-sessions/state-reference-group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dti.engagement@industry.gov.au" TargetMode="External"/><Relationship Id="rId22" Type="http://schemas.openxmlformats.org/officeDocument/2006/relationships/hyperlink" Target="https://www.legislation.gov.au/Details/F2022C00752" TargetMode="External"/><Relationship Id="rId27" Type="http://schemas.openxmlformats.org/officeDocument/2006/relationships/hyperlink" Target="https://www.legislation.gov.au/Details/F2022L00356"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a36bd50b-1532-4c22-b385-5c082c960938">
      <Terms xmlns="http://schemas.microsoft.com/office/infopath/2007/PartnerControls">
        <TermInfo xmlns="http://schemas.microsoft.com/office/infopath/2007/PartnerControls">
          <TermName>Talk Points</TermName>
          <TermId>259d99c0-c8be-434c-8d1e-2e7c8cd146e5</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Roundtable</TermName>
          <TermId xmlns="http://schemas.microsoft.com/office/infopath/2007/PartnerControls">1b43a101-ca18-4ba8-b830-236cb84c9453</TermId>
        </TermInfo>
        <TermInfo xmlns="http://schemas.microsoft.com/office/infopath/2007/PartnerControls">
          <TermName xmlns="http://schemas.microsoft.com/office/infopath/2007/PartnerControls">Engagement</TermName>
          <TermId xmlns="http://schemas.microsoft.com/office/infopath/2007/PartnerControls">69be3788-1130-41d9-8269-9fdc04c2deb9</TermId>
        </TermInfo>
      </Term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a36bd50b-1532-4c22-b385-5c082c960938">
      <Value>2886</Value>
      <Value>36882</Value>
      <Value>3</Value>
      <Value>40989</Value>
      <Value>18</Value>
      <Value>614</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805ad0cb-164b-47a7-a552-b10534128590</TermId>
        </TermInfo>
      </Terms>
    </g7bcb40ba23249a78edca7d43a67c1c9>
    <_dlc_DocId xmlns="a36bd50b-1532-4c22-b385-5c082c960938">YZXQVS7QACYM-2114359073-9701</_dlc_DocId>
    <_dlc_DocIdUrl xmlns="a36bd50b-1532-4c22-b385-5c082c960938">
      <Url>https://dochub/div/ausindustry/programmesprojectstaskforces/rdti/_layouts/15/DocIdRedir.aspx?ID=YZXQVS7QACYM-2114359073-9701</Url>
      <Description>YZXQVS7QACYM-2114359073-9701</Description>
    </_dlc_DocIdUrl>
    <DocHub_MeetingDate xmlns="a36bd50b-1532-4c22-b385-5c082c96093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073702B1C25647A67EAEBFEAC27B4F" ma:contentTypeVersion="14" ma:contentTypeDescription="Create a new document." ma:contentTypeScope="" ma:versionID="0e223d007d41f81e815148558c42e2e0">
  <xsd:schema xmlns:xsd="http://www.w3.org/2001/XMLSchema" xmlns:xs="http://www.w3.org/2001/XMLSchema" xmlns:p="http://schemas.microsoft.com/office/2006/metadata/properties" xmlns:ns1="http://schemas.microsoft.com/sharepoint/v3" xmlns:ns2="a36bd50b-1532-4c22-b385-5c082c960938" xmlns:ns3="2a251b7e-61e4-4816-a71f-b295a9ad20fb" targetNamespace="http://schemas.microsoft.com/office/2006/metadata/properties" ma:root="true" ma:fieldsID="91a7d7539d00d76623a3e41964eeab3f" ns1:_="" ns2:_="" ns3:_="">
    <xsd:import namespace="http://schemas.microsoft.com/sharepoint/v3"/>
    <xsd:import namespace="a36bd50b-1532-4c22-b385-5c082c960938"/>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Meeting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MeetingDate" ma:index="23" nillable="true" ma:displayName="Meeting Date" ma:description="Date of the meeting (DD/MM/YYYY)" ma:format="DateOnly"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6C70-35E8-421B-BB2C-6F13C83C472A}">
  <ds:schemaRefs>
    <ds:schemaRef ds:uri="http://purl.org/dc/terms/"/>
    <ds:schemaRef ds:uri="2a251b7e-61e4-4816-a71f-b295a9ad20fb"/>
    <ds:schemaRef ds:uri="http://schemas.microsoft.com/office/2006/documentManagement/types"/>
    <ds:schemaRef ds:uri="http://purl.org/dc/dcmitype/"/>
    <ds:schemaRef ds:uri="a36bd50b-1532-4c22-b385-5c082c960938"/>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427368-38A5-4D83-88F3-6DBF9C929621}">
  <ds:schemaRefs>
    <ds:schemaRef ds:uri="http://schemas.microsoft.com/sharepoint/events"/>
  </ds:schemaRefs>
</ds:datastoreItem>
</file>

<file path=customXml/itemProps3.xml><?xml version="1.0" encoding="utf-8"?>
<ds:datastoreItem xmlns:ds="http://schemas.openxmlformats.org/officeDocument/2006/customXml" ds:itemID="{72A79A79-EB6D-4C71-A6F8-9A6854A032E7}">
  <ds:schemaRefs>
    <ds:schemaRef ds:uri="http://schemas.microsoft.com/sharepoint/v3/contenttype/forms"/>
  </ds:schemaRefs>
</ds:datastoreItem>
</file>

<file path=customXml/itemProps4.xml><?xml version="1.0" encoding="utf-8"?>
<ds:datastoreItem xmlns:ds="http://schemas.openxmlformats.org/officeDocument/2006/customXml" ds:itemID="{37505026-C82C-4AE9-875F-2800457D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3D60A9-295D-40EB-B4DE-7EE1B64D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State Reference Group – Talking Points</vt:lpstr>
    </vt:vector>
  </TitlesOfParts>
  <Company/>
  <LinksUpToDate>false</LinksUpToDate>
  <CharactersWithSpaces>28922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Reference Group – Talking Points</dc:title>
  <dc:subject/>
  <dc:creator>Tymkiw, Anita</dc:creator>
  <cp:keywords/>
  <dc:description/>
  <cp:lastModifiedBy>Cooper, Colin</cp:lastModifiedBy>
  <cp:revision>4</cp:revision>
  <dcterms:created xsi:type="dcterms:W3CDTF">2022-10-10T22:12:00Z</dcterms:created>
  <dcterms:modified xsi:type="dcterms:W3CDTF">2022-10-13T04:56:00Z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0x0101000D073702B1C25647A67EAEBFEAC27B4F</vt:lpwstr>
  </property>
  <property fmtid="{D5CDD505-2E9C-101B-9397-08002B2CF9AE}" pid="3" name="_dlc_DocIdItemGuid">
    <vt:lpwstr>7beebd57-55ee-476e-b86a-286c59ae5ab9</vt:lpwstr>
  </property>
  <property fmtid="{D5CDD505-2E9C-101B-9397-08002B2CF9AE}" pid="4" name="DocHub_Year">
    <vt:lpwstr>36882;#2022|4a777a70-2aa9-481e-a746-cca47d761c8e</vt:lpwstr>
  </property>
  <property fmtid="{D5CDD505-2E9C-101B-9397-08002B2CF9AE}" pid="5" name="DocHub_DocumentType">
    <vt:lpwstr>614;#Talk Points|259d99c0-c8be-434c-8d1e-2e7c8cd146e5</vt:lpwstr>
  </property>
  <property fmtid="{D5CDD505-2E9C-101B-9397-08002B2CF9AE}" pid="6" name="DocHub_SecurityClassification">
    <vt:lpwstr>3;#OFFICIAL|6106d03b-a1a0-4e30-9d91-d5e9fb4314f9</vt:lpwstr>
  </property>
  <property fmtid="{D5CDD505-2E9C-101B-9397-08002B2CF9AE}" pid="7" name="DocHub_Keywords">
    <vt:lpwstr>40989;#Roundtable|1b43a101-ca18-4ba8-b830-236cb84c9453;#2886;#Engagement|69be3788-1130-41d9-8269-9fdc04c2deb9</vt:lpwstr>
  </property>
  <property fmtid="{D5CDD505-2E9C-101B-9397-08002B2CF9AE}" pid="8" name="DocHub_Division">
    <vt:lpwstr>111;#Common|8a2f92e9-1da3-4088-a90a-dd57315f71b9</vt:lpwstr>
  </property>
  <property fmtid="{D5CDD505-2E9C-101B-9397-08002B2CF9AE}" pid="9" name="DocHub_WorkActivity">
    <vt:lpwstr>18;#Meetings|805ad0cb-164b-47a7-a552-b10534128590</vt:lpwstr>
  </property>
  <property fmtid="{D5CDD505-2E9C-101B-9397-08002B2CF9AE}" pid="10" name="DocHub_CommsTemplateTopics">
    <vt:lpwstr>41970;#R＆D Tax Incentive|2f96d19e-ff06-41a3-af8f-e31ddc169295</vt:lpwstr>
  </property>
  <property fmtid="{D5CDD505-2E9C-101B-9397-08002B2CF9AE}" pid="11" name="DocHub_EntityCustomer">
    <vt:lpwstr/>
  </property>
  <property fmtid="{D5CDD505-2E9C-101B-9397-08002B2CF9AE}" pid="12" name="DocHub_DSOSection">
    <vt:lpwstr>20844;#Stakeholder Engagement|07e4cd81-7a18-4e45-b3c4-b652921e6ecc</vt:lpwstr>
  </property>
  <property fmtid="{D5CDD505-2E9C-101B-9397-08002B2CF9AE}" pid="13" name="DocHub_Active">
    <vt:lpwstr>true</vt:lpwstr>
  </property>
  <property fmtid="{D5CDD505-2E9C-101B-9397-08002B2CF9AE}" pid="14" name="fa7a0ce8d25a4404813a3f5ddca1ff61">
    <vt:lpwstr>Stakeholder Engagement|07e4cd81-7a18-4e45-b3c4-b652921e6ecc</vt:lpwstr>
  </property>
  <property fmtid="{D5CDD505-2E9C-101B-9397-08002B2CF9AE}" pid="15" name="o1116530bc244d4bbd793e6e47aad9f9">
    <vt:lpwstr/>
  </property>
  <property fmtid="{D5CDD505-2E9C-101B-9397-08002B2CF9AE}" pid="16" name="IconOverlay">
    <vt:lpwstr/>
  </property>
  <property fmtid="{D5CDD505-2E9C-101B-9397-08002B2CF9AE}" pid="17" name="DocHub_ProjectGrantBenefitNo">
    <vt:lpwstr/>
  </property>
</Properties>
</file>